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165" w:rsidRPr="006C5648" w:rsidRDefault="0036265F" w:rsidP="00BF2165">
      <w:pPr>
        <w:jc w:val="center"/>
        <w:rPr>
          <w:rFonts w:ascii="Arial" w:hAnsi="Arial" w:cs="Arial"/>
          <w:b/>
          <w:sz w:val="20"/>
          <w:szCs w:val="20"/>
        </w:rPr>
      </w:pPr>
      <w:r>
        <w:rPr>
          <w:rFonts w:ascii="Arial" w:hAnsi="Arial" w:cs="Arial"/>
          <w:b/>
          <w:sz w:val="20"/>
          <w:szCs w:val="20"/>
        </w:rPr>
        <w:t>Certificate Course in Digital Banking</w:t>
      </w:r>
    </w:p>
    <w:p w:rsidR="00BF2165" w:rsidRPr="006C5648" w:rsidRDefault="00BF2165" w:rsidP="00BF2165">
      <w:pPr>
        <w:jc w:val="center"/>
        <w:rPr>
          <w:rFonts w:ascii="Arial" w:hAnsi="Arial" w:cs="Arial"/>
          <w:sz w:val="20"/>
          <w:szCs w:val="20"/>
        </w:rPr>
      </w:pPr>
    </w:p>
    <w:tbl>
      <w:tblPr>
        <w:tblStyle w:val="TableGrid"/>
        <w:tblW w:w="0" w:type="auto"/>
        <w:tblInd w:w="0" w:type="dxa"/>
        <w:tblLook w:val="04A0" w:firstRow="1" w:lastRow="0" w:firstColumn="1" w:lastColumn="0" w:noHBand="0" w:noVBand="1"/>
      </w:tblPr>
      <w:tblGrid>
        <w:gridCol w:w="846"/>
        <w:gridCol w:w="8170"/>
      </w:tblGrid>
      <w:tr w:rsidR="00BF2165" w:rsidRPr="006C5648" w:rsidTr="00BF2165">
        <w:tc>
          <w:tcPr>
            <w:tcW w:w="846" w:type="dxa"/>
            <w:tcBorders>
              <w:top w:val="single" w:sz="4" w:space="0" w:color="auto"/>
              <w:left w:val="single" w:sz="4" w:space="0" w:color="auto"/>
              <w:bottom w:val="single" w:sz="4" w:space="0" w:color="auto"/>
              <w:right w:val="single" w:sz="4" w:space="0" w:color="auto"/>
            </w:tcBorders>
            <w:hideMark/>
          </w:tcPr>
          <w:p w:rsidR="00BF2165" w:rsidRPr="006C5648" w:rsidRDefault="00BF2165">
            <w:pPr>
              <w:spacing w:line="240" w:lineRule="auto"/>
              <w:jc w:val="center"/>
              <w:rPr>
                <w:rFonts w:ascii="Arial" w:hAnsi="Arial" w:cs="Arial"/>
                <w:b/>
                <w:sz w:val="20"/>
                <w:szCs w:val="20"/>
              </w:rPr>
            </w:pPr>
            <w:proofErr w:type="spellStart"/>
            <w:r w:rsidRPr="006C5648">
              <w:rPr>
                <w:rFonts w:ascii="Arial" w:hAnsi="Arial" w:cs="Arial"/>
                <w:b/>
                <w:sz w:val="20"/>
                <w:szCs w:val="20"/>
              </w:rPr>
              <w:t>S.No</w:t>
            </w:r>
            <w:proofErr w:type="spellEnd"/>
            <w:r w:rsidRPr="006C5648">
              <w:rPr>
                <w:rFonts w:ascii="Arial" w:hAnsi="Arial" w:cs="Arial"/>
                <w:b/>
                <w:sz w:val="20"/>
                <w:szCs w:val="20"/>
              </w:rPr>
              <w:t>.</w:t>
            </w:r>
          </w:p>
        </w:tc>
        <w:tc>
          <w:tcPr>
            <w:tcW w:w="8170" w:type="dxa"/>
            <w:tcBorders>
              <w:top w:val="single" w:sz="4" w:space="0" w:color="auto"/>
              <w:left w:val="single" w:sz="4" w:space="0" w:color="auto"/>
              <w:bottom w:val="single" w:sz="4" w:space="0" w:color="auto"/>
              <w:right w:val="single" w:sz="4" w:space="0" w:color="auto"/>
            </w:tcBorders>
            <w:hideMark/>
          </w:tcPr>
          <w:p w:rsidR="00BF2165" w:rsidRPr="006C5648" w:rsidRDefault="00BF2165">
            <w:pPr>
              <w:spacing w:line="240" w:lineRule="auto"/>
              <w:jc w:val="center"/>
              <w:rPr>
                <w:rFonts w:ascii="Arial" w:hAnsi="Arial" w:cs="Arial"/>
                <w:b/>
                <w:sz w:val="20"/>
                <w:szCs w:val="20"/>
              </w:rPr>
            </w:pPr>
            <w:r w:rsidRPr="006C5648">
              <w:rPr>
                <w:rFonts w:ascii="Arial" w:hAnsi="Arial" w:cs="Arial"/>
                <w:b/>
                <w:sz w:val="20"/>
                <w:szCs w:val="20"/>
              </w:rPr>
              <w:t>RBI Notification</w:t>
            </w:r>
          </w:p>
        </w:tc>
      </w:tr>
      <w:tr w:rsidR="00BF2165" w:rsidRPr="006C5648" w:rsidTr="00066AD4">
        <w:tc>
          <w:tcPr>
            <w:tcW w:w="846" w:type="dxa"/>
            <w:tcBorders>
              <w:top w:val="single" w:sz="4" w:space="0" w:color="auto"/>
              <w:left w:val="single" w:sz="4" w:space="0" w:color="auto"/>
              <w:bottom w:val="single" w:sz="4" w:space="0" w:color="auto"/>
              <w:right w:val="single" w:sz="4" w:space="0" w:color="auto"/>
            </w:tcBorders>
          </w:tcPr>
          <w:p w:rsidR="00BF2165" w:rsidRPr="006C5648" w:rsidRDefault="00BF2165"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6C5648" w:rsidRPr="006C5648" w:rsidRDefault="006C5648">
            <w:pPr>
              <w:spacing w:line="240" w:lineRule="auto"/>
              <w:jc w:val="both"/>
              <w:rPr>
                <w:rFonts w:ascii="Calibri" w:hAnsi="Calibri" w:cs="Calibri"/>
                <w:color w:val="000000"/>
                <w:sz w:val="20"/>
                <w:szCs w:val="20"/>
              </w:rPr>
            </w:pPr>
            <w:r>
              <w:rPr>
                <w:rFonts w:ascii="Calibri" w:hAnsi="Calibri" w:cs="Calibri"/>
                <w:color w:val="000000"/>
                <w:sz w:val="20"/>
                <w:szCs w:val="20"/>
              </w:rPr>
              <w:t>Requirement for obtaining prior approval in case of takeover / acquisition of control of non-bank PSOs and sale / transfer of payment system activity of non-bank PSO</w:t>
            </w:r>
          </w:p>
        </w:tc>
      </w:tr>
      <w:tr w:rsidR="00BF2165" w:rsidRPr="006C5648" w:rsidTr="00066AD4">
        <w:tc>
          <w:tcPr>
            <w:tcW w:w="846" w:type="dxa"/>
            <w:tcBorders>
              <w:top w:val="single" w:sz="4" w:space="0" w:color="auto"/>
              <w:left w:val="single" w:sz="4" w:space="0" w:color="auto"/>
              <w:bottom w:val="single" w:sz="4" w:space="0" w:color="auto"/>
              <w:right w:val="single" w:sz="4" w:space="0" w:color="auto"/>
            </w:tcBorders>
          </w:tcPr>
          <w:p w:rsidR="00BF2165" w:rsidRPr="006C5648" w:rsidRDefault="00BF2165"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BF2165" w:rsidRPr="006C5648" w:rsidRDefault="006C5648">
            <w:pPr>
              <w:spacing w:line="240" w:lineRule="auto"/>
              <w:jc w:val="both"/>
              <w:rPr>
                <w:rFonts w:ascii="Calibri" w:hAnsi="Calibri" w:cs="Calibri"/>
                <w:color w:val="000000"/>
                <w:sz w:val="20"/>
                <w:szCs w:val="20"/>
              </w:rPr>
            </w:pPr>
            <w:r>
              <w:rPr>
                <w:rFonts w:ascii="Calibri" w:hAnsi="Calibri" w:cs="Calibri"/>
                <w:color w:val="000000"/>
                <w:sz w:val="20"/>
                <w:szCs w:val="20"/>
              </w:rPr>
              <w:t>Restriction on Storage of Actual Card Data [i.e. Card-on-File (</w:t>
            </w:r>
            <w:proofErr w:type="spellStart"/>
            <w:r>
              <w:rPr>
                <w:rFonts w:ascii="Calibri" w:hAnsi="Calibri" w:cs="Calibri"/>
                <w:color w:val="000000"/>
                <w:sz w:val="20"/>
                <w:szCs w:val="20"/>
              </w:rPr>
              <w:t>CoF</w:t>
            </w:r>
            <w:proofErr w:type="spellEnd"/>
            <w:r>
              <w:rPr>
                <w:rFonts w:ascii="Calibri" w:hAnsi="Calibri" w:cs="Calibri"/>
                <w:color w:val="000000"/>
                <w:sz w:val="20"/>
                <w:szCs w:val="20"/>
              </w:rPr>
              <w:t>)]</w:t>
            </w:r>
          </w:p>
        </w:tc>
      </w:tr>
      <w:tr w:rsidR="002C55B6" w:rsidRPr="006C5648" w:rsidTr="00BF2165">
        <w:tc>
          <w:tcPr>
            <w:tcW w:w="846" w:type="dxa"/>
            <w:tcBorders>
              <w:top w:val="single" w:sz="4" w:space="0" w:color="auto"/>
              <w:left w:val="single" w:sz="4" w:space="0" w:color="auto"/>
              <w:bottom w:val="single" w:sz="4" w:space="0" w:color="auto"/>
              <w:right w:val="single" w:sz="4" w:space="0" w:color="auto"/>
            </w:tcBorders>
          </w:tcPr>
          <w:p w:rsidR="002C55B6" w:rsidRPr="006C5648" w:rsidRDefault="002C55B6"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2C55B6" w:rsidRPr="006C5648" w:rsidRDefault="006C5648">
            <w:pPr>
              <w:spacing w:line="240" w:lineRule="auto"/>
              <w:jc w:val="both"/>
              <w:rPr>
                <w:rFonts w:ascii="Calibri" w:hAnsi="Calibri" w:cs="Calibri"/>
                <w:color w:val="000000"/>
                <w:sz w:val="20"/>
                <w:szCs w:val="20"/>
              </w:rPr>
            </w:pPr>
            <w:r>
              <w:rPr>
                <w:rFonts w:ascii="Calibri" w:hAnsi="Calibri" w:cs="Calibri"/>
                <w:color w:val="000000"/>
                <w:sz w:val="20"/>
                <w:szCs w:val="20"/>
              </w:rPr>
              <w:t>Reserve Bank - Integrated Ombudsman Scheme, 2021 (RBIOS, 2021)</w:t>
            </w:r>
          </w:p>
        </w:tc>
      </w:tr>
      <w:tr w:rsidR="002C55B6" w:rsidRPr="006C5648" w:rsidTr="00BF2165">
        <w:tc>
          <w:tcPr>
            <w:tcW w:w="846" w:type="dxa"/>
            <w:tcBorders>
              <w:top w:val="single" w:sz="4" w:space="0" w:color="auto"/>
              <w:left w:val="single" w:sz="4" w:space="0" w:color="auto"/>
              <w:bottom w:val="single" w:sz="4" w:space="0" w:color="auto"/>
              <w:right w:val="single" w:sz="4" w:space="0" w:color="auto"/>
            </w:tcBorders>
          </w:tcPr>
          <w:p w:rsidR="002C55B6" w:rsidRPr="006C5648" w:rsidRDefault="002C55B6"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2C55B6" w:rsidRPr="006C5648" w:rsidRDefault="006C5648">
            <w:pPr>
              <w:spacing w:line="240" w:lineRule="auto"/>
              <w:jc w:val="both"/>
              <w:rPr>
                <w:rFonts w:ascii="Calibri" w:hAnsi="Calibri" w:cs="Calibri"/>
                <w:color w:val="000000"/>
                <w:sz w:val="20"/>
                <w:szCs w:val="20"/>
              </w:rPr>
            </w:pPr>
            <w:r>
              <w:rPr>
                <w:rFonts w:ascii="Calibri" w:hAnsi="Calibri" w:cs="Calibri"/>
                <w:color w:val="000000"/>
                <w:sz w:val="20"/>
                <w:szCs w:val="20"/>
              </w:rPr>
              <w:t>Guidelines on Digital Lending</w:t>
            </w:r>
          </w:p>
        </w:tc>
      </w:tr>
      <w:tr w:rsidR="002C55B6" w:rsidRPr="006C5648" w:rsidTr="00BF2165">
        <w:tc>
          <w:tcPr>
            <w:tcW w:w="846" w:type="dxa"/>
            <w:tcBorders>
              <w:top w:val="single" w:sz="4" w:space="0" w:color="auto"/>
              <w:left w:val="single" w:sz="4" w:space="0" w:color="auto"/>
              <w:bottom w:val="single" w:sz="4" w:space="0" w:color="auto"/>
              <w:right w:val="single" w:sz="4" w:space="0" w:color="auto"/>
            </w:tcBorders>
          </w:tcPr>
          <w:p w:rsidR="002C55B6" w:rsidRPr="006C5648" w:rsidRDefault="002C55B6"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2C55B6" w:rsidRPr="006C5648" w:rsidRDefault="006C5648">
            <w:pPr>
              <w:spacing w:line="240" w:lineRule="auto"/>
              <w:jc w:val="both"/>
              <w:rPr>
                <w:rFonts w:ascii="Calibri" w:hAnsi="Calibri" w:cs="Calibri"/>
                <w:color w:val="000000"/>
                <w:sz w:val="20"/>
                <w:szCs w:val="20"/>
              </w:rPr>
            </w:pPr>
            <w:r>
              <w:rPr>
                <w:rFonts w:ascii="Calibri" w:hAnsi="Calibri" w:cs="Calibri"/>
                <w:color w:val="000000"/>
                <w:sz w:val="20"/>
                <w:szCs w:val="20"/>
              </w:rPr>
              <w:t>Incentive for improving service to non-chest branches</w:t>
            </w:r>
          </w:p>
        </w:tc>
      </w:tr>
      <w:tr w:rsidR="002C55B6" w:rsidRPr="006C5648" w:rsidTr="00BF2165">
        <w:tc>
          <w:tcPr>
            <w:tcW w:w="846" w:type="dxa"/>
            <w:tcBorders>
              <w:top w:val="single" w:sz="4" w:space="0" w:color="auto"/>
              <w:left w:val="single" w:sz="4" w:space="0" w:color="auto"/>
              <w:bottom w:val="single" w:sz="4" w:space="0" w:color="auto"/>
              <w:right w:val="single" w:sz="4" w:space="0" w:color="auto"/>
            </w:tcBorders>
          </w:tcPr>
          <w:p w:rsidR="002C55B6" w:rsidRPr="006C5648" w:rsidRDefault="002C55B6"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2C55B6" w:rsidRPr="006C5648" w:rsidRDefault="006C5648">
            <w:pPr>
              <w:spacing w:line="240" w:lineRule="auto"/>
              <w:jc w:val="both"/>
              <w:rPr>
                <w:rFonts w:ascii="Calibri" w:hAnsi="Calibri" w:cs="Calibri"/>
                <w:color w:val="000000"/>
                <w:sz w:val="20"/>
                <w:szCs w:val="20"/>
              </w:rPr>
            </w:pPr>
            <w:r>
              <w:rPr>
                <w:rFonts w:ascii="Calibri" w:hAnsi="Calibri" w:cs="Calibri"/>
                <w:color w:val="000000"/>
                <w:sz w:val="20"/>
                <w:szCs w:val="20"/>
              </w:rPr>
              <w:t>Rupee Drawing Arrangement - Enabling Bharat Bill Payment System (BBPS) to process cross-border inbound Bill Payments</w:t>
            </w:r>
          </w:p>
        </w:tc>
      </w:tr>
      <w:tr w:rsidR="002C55B6" w:rsidRPr="006C5648" w:rsidTr="00BF2165">
        <w:tc>
          <w:tcPr>
            <w:tcW w:w="846" w:type="dxa"/>
            <w:tcBorders>
              <w:top w:val="single" w:sz="4" w:space="0" w:color="auto"/>
              <w:left w:val="single" w:sz="4" w:space="0" w:color="auto"/>
              <w:bottom w:val="single" w:sz="4" w:space="0" w:color="auto"/>
              <w:right w:val="single" w:sz="4" w:space="0" w:color="auto"/>
            </w:tcBorders>
          </w:tcPr>
          <w:p w:rsidR="002C55B6" w:rsidRPr="006C5648" w:rsidRDefault="002C55B6"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2C55B6" w:rsidRPr="006C5648" w:rsidRDefault="0036265F">
            <w:pPr>
              <w:spacing w:line="240" w:lineRule="auto"/>
              <w:jc w:val="both"/>
              <w:rPr>
                <w:rFonts w:ascii="Calibri" w:hAnsi="Calibri" w:cs="Calibri"/>
                <w:color w:val="000000"/>
                <w:sz w:val="20"/>
                <w:szCs w:val="20"/>
              </w:rPr>
            </w:pPr>
            <w:r>
              <w:rPr>
                <w:rFonts w:ascii="Calibri" w:hAnsi="Calibri" w:cs="Calibri"/>
                <w:color w:val="000000"/>
                <w:sz w:val="20"/>
                <w:szCs w:val="20"/>
              </w:rPr>
              <w:t>Eligibility Criteria for offering Internet Banking Facility by Regional Rural Banks, 2022</w:t>
            </w:r>
          </w:p>
        </w:tc>
      </w:tr>
      <w:tr w:rsidR="002C55B6" w:rsidRPr="006C5648" w:rsidTr="00BF2165">
        <w:tc>
          <w:tcPr>
            <w:tcW w:w="846" w:type="dxa"/>
            <w:tcBorders>
              <w:top w:val="single" w:sz="4" w:space="0" w:color="auto"/>
              <w:left w:val="single" w:sz="4" w:space="0" w:color="auto"/>
              <w:bottom w:val="single" w:sz="4" w:space="0" w:color="auto"/>
              <w:right w:val="single" w:sz="4" w:space="0" w:color="auto"/>
            </w:tcBorders>
          </w:tcPr>
          <w:p w:rsidR="002C55B6" w:rsidRPr="006C5648" w:rsidRDefault="002C55B6"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2C55B6" w:rsidRPr="006C5648" w:rsidRDefault="00710775">
            <w:pPr>
              <w:spacing w:line="240" w:lineRule="auto"/>
              <w:jc w:val="both"/>
              <w:rPr>
                <w:rFonts w:ascii="Calibri" w:hAnsi="Calibri" w:cs="Calibri"/>
                <w:color w:val="000000"/>
                <w:sz w:val="20"/>
                <w:szCs w:val="20"/>
              </w:rPr>
            </w:pPr>
            <w:r>
              <w:rPr>
                <w:rFonts w:ascii="Calibri" w:hAnsi="Calibri" w:cs="Calibri"/>
                <w:color w:val="000000"/>
                <w:sz w:val="20"/>
                <w:szCs w:val="20"/>
              </w:rPr>
              <w:t>Central Payments Fraud Information Registry – Migration of Reporting to DAKSH</w:t>
            </w:r>
            <w:bookmarkStart w:id="0" w:name="_GoBack"/>
            <w:bookmarkEnd w:id="0"/>
          </w:p>
        </w:tc>
      </w:tr>
    </w:tbl>
    <w:p w:rsidR="00744532" w:rsidRDefault="00744532">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36265F" w:rsidRDefault="0036265F" w:rsidP="00245B30">
      <w:pPr>
        <w:spacing w:line="259" w:lineRule="auto"/>
        <w:rPr>
          <w:rFonts w:ascii="Arial" w:hAnsi="Arial" w:cs="Arial"/>
          <w:b/>
          <w:bCs/>
          <w:color w:val="000000"/>
          <w:sz w:val="20"/>
          <w:szCs w:val="20"/>
        </w:rPr>
      </w:pPr>
    </w:p>
    <w:p w:rsidR="0036265F" w:rsidRDefault="0036265F" w:rsidP="00245B30">
      <w:pPr>
        <w:spacing w:line="259" w:lineRule="auto"/>
        <w:rPr>
          <w:rFonts w:ascii="Arial" w:hAnsi="Arial" w:cs="Arial"/>
          <w:b/>
          <w:bCs/>
          <w:color w:val="000000"/>
          <w:sz w:val="20"/>
          <w:szCs w:val="20"/>
        </w:rPr>
      </w:pPr>
    </w:p>
    <w:p w:rsidR="0036265F" w:rsidRDefault="0036265F" w:rsidP="00245B30">
      <w:pPr>
        <w:spacing w:line="259" w:lineRule="auto"/>
        <w:rPr>
          <w:rFonts w:ascii="Arial" w:hAnsi="Arial" w:cs="Arial"/>
          <w:b/>
          <w:bCs/>
          <w:color w:val="000000"/>
          <w:sz w:val="20"/>
          <w:szCs w:val="20"/>
        </w:rPr>
      </w:pPr>
    </w:p>
    <w:p w:rsidR="0036265F" w:rsidRDefault="0036265F" w:rsidP="00245B30">
      <w:pPr>
        <w:spacing w:line="259" w:lineRule="auto"/>
        <w:rPr>
          <w:rFonts w:ascii="Arial" w:hAnsi="Arial" w:cs="Arial"/>
          <w:b/>
          <w:bCs/>
          <w:color w:val="000000"/>
          <w:sz w:val="20"/>
          <w:szCs w:val="20"/>
        </w:rPr>
      </w:pPr>
    </w:p>
    <w:p w:rsidR="0036265F" w:rsidRDefault="0036265F" w:rsidP="00245B30">
      <w:pPr>
        <w:spacing w:line="259" w:lineRule="auto"/>
        <w:rPr>
          <w:rFonts w:ascii="Arial" w:hAnsi="Arial" w:cs="Arial"/>
          <w:b/>
          <w:bCs/>
          <w:color w:val="000000"/>
          <w:sz w:val="20"/>
          <w:szCs w:val="20"/>
        </w:rPr>
      </w:pPr>
    </w:p>
    <w:p w:rsidR="0036265F" w:rsidRDefault="0036265F" w:rsidP="00245B30">
      <w:pPr>
        <w:spacing w:line="259" w:lineRule="auto"/>
        <w:rPr>
          <w:rFonts w:ascii="Arial" w:hAnsi="Arial" w:cs="Arial"/>
          <w:b/>
          <w:bCs/>
          <w:color w:val="000000"/>
          <w:sz w:val="20"/>
          <w:szCs w:val="20"/>
        </w:rPr>
      </w:pPr>
    </w:p>
    <w:p w:rsidR="0036265F" w:rsidRDefault="0036265F" w:rsidP="00245B30">
      <w:pPr>
        <w:spacing w:line="259" w:lineRule="auto"/>
        <w:rPr>
          <w:rFonts w:ascii="Arial" w:hAnsi="Arial" w:cs="Arial"/>
          <w:b/>
          <w:bCs/>
          <w:color w:val="000000"/>
          <w:sz w:val="20"/>
          <w:szCs w:val="20"/>
        </w:rPr>
      </w:pPr>
    </w:p>
    <w:p w:rsidR="0036265F" w:rsidRDefault="0036265F" w:rsidP="00245B30">
      <w:pPr>
        <w:spacing w:line="259" w:lineRule="auto"/>
        <w:rPr>
          <w:rFonts w:ascii="Arial" w:hAnsi="Arial" w:cs="Arial"/>
          <w:b/>
          <w:bCs/>
          <w:color w:val="000000"/>
          <w:sz w:val="20"/>
          <w:szCs w:val="20"/>
        </w:rPr>
      </w:pPr>
    </w:p>
    <w:p w:rsidR="0036265F" w:rsidRDefault="0036265F" w:rsidP="00245B30">
      <w:pPr>
        <w:spacing w:line="259" w:lineRule="auto"/>
        <w:rPr>
          <w:rFonts w:ascii="Arial" w:hAnsi="Arial" w:cs="Arial"/>
          <w:b/>
          <w:bCs/>
          <w:color w:val="000000"/>
          <w:sz w:val="20"/>
          <w:szCs w:val="20"/>
        </w:rPr>
      </w:pPr>
    </w:p>
    <w:p w:rsidR="0036265F" w:rsidRDefault="0036265F" w:rsidP="00245B30">
      <w:pPr>
        <w:spacing w:line="259" w:lineRule="auto"/>
        <w:rPr>
          <w:rFonts w:ascii="Arial" w:hAnsi="Arial" w:cs="Arial"/>
          <w:b/>
          <w:bCs/>
          <w:color w:val="000000"/>
          <w:sz w:val="20"/>
          <w:szCs w:val="20"/>
        </w:rPr>
      </w:pPr>
    </w:p>
    <w:p w:rsidR="0036265F" w:rsidRDefault="0036265F" w:rsidP="00245B30">
      <w:pPr>
        <w:spacing w:line="259" w:lineRule="auto"/>
        <w:rPr>
          <w:rFonts w:ascii="Arial" w:hAnsi="Arial" w:cs="Arial"/>
          <w:b/>
          <w:bCs/>
          <w:color w:val="000000"/>
          <w:sz w:val="20"/>
          <w:szCs w:val="20"/>
        </w:rPr>
      </w:pPr>
    </w:p>
    <w:p w:rsidR="0036265F" w:rsidRDefault="0036265F" w:rsidP="00245B30">
      <w:pPr>
        <w:spacing w:line="259" w:lineRule="auto"/>
        <w:rPr>
          <w:rFonts w:ascii="Arial" w:hAnsi="Arial" w:cs="Arial"/>
          <w:b/>
          <w:bCs/>
          <w:color w:val="000000"/>
          <w:sz w:val="20"/>
          <w:szCs w:val="20"/>
        </w:rPr>
      </w:pPr>
    </w:p>
    <w:p w:rsidR="0036265F" w:rsidRDefault="0036265F" w:rsidP="00245B30">
      <w:pPr>
        <w:spacing w:line="259" w:lineRule="auto"/>
        <w:rPr>
          <w:rFonts w:ascii="Arial" w:hAnsi="Arial" w:cs="Arial"/>
          <w:b/>
          <w:bCs/>
          <w:color w:val="000000"/>
          <w:sz w:val="20"/>
          <w:szCs w:val="20"/>
        </w:rPr>
      </w:pPr>
    </w:p>
    <w:p w:rsidR="00245B30" w:rsidRDefault="00245B30" w:rsidP="00245B30">
      <w:pPr>
        <w:spacing w:line="259" w:lineRule="auto"/>
        <w:rPr>
          <w:rFonts w:ascii="Arial" w:hAnsi="Arial" w:cs="Arial"/>
          <w:b/>
          <w:bCs/>
          <w:color w:val="000000"/>
          <w:sz w:val="20"/>
          <w:szCs w:val="20"/>
        </w:rPr>
      </w:pPr>
      <w:r>
        <w:rPr>
          <w:rFonts w:ascii="Arial" w:hAnsi="Arial" w:cs="Arial"/>
          <w:b/>
          <w:bCs/>
          <w:color w:val="000000"/>
          <w:sz w:val="20"/>
          <w:szCs w:val="20"/>
        </w:rPr>
        <w:lastRenderedPageBreak/>
        <w:t>Requirement for obtaining prior approval in case of takeover / acquisition of control of non-bank PSOs and sale / transfer of payment system activity of non-bank PSO</w:t>
      </w:r>
    </w:p>
    <w:p w:rsidR="00245B30" w:rsidRDefault="00245B30" w:rsidP="00245B30">
      <w:pPr>
        <w:pStyle w:val="NormalWeb"/>
        <w:rPr>
          <w:rFonts w:ascii="Arial" w:hAnsi="Arial" w:cs="Arial"/>
          <w:color w:val="000000"/>
          <w:sz w:val="20"/>
          <w:szCs w:val="20"/>
        </w:rPr>
      </w:pPr>
      <w:r>
        <w:rPr>
          <w:rFonts w:ascii="Arial" w:hAnsi="Arial" w:cs="Arial"/>
          <w:color w:val="000000"/>
          <w:sz w:val="20"/>
          <w:szCs w:val="20"/>
        </w:rPr>
        <w:t>RBI/2022-23/80</w:t>
      </w:r>
      <w:r>
        <w:rPr>
          <w:rFonts w:ascii="Arial" w:hAnsi="Arial" w:cs="Arial"/>
          <w:color w:val="000000"/>
          <w:sz w:val="20"/>
          <w:szCs w:val="20"/>
        </w:rPr>
        <w:br/>
        <w:t>CO.DPSS.POLC.No.S-590/02-14-006/2022-23</w:t>
      </w:r>
    </w:p>
    <w:p w:rsidR="00245B30" w:rsidRDefault="00245B30" w:rsidP="00C8671B">
      <w:pPr>
        <w:pStyle w:val="NormalWeb"/>
        <w:jc w:val="right"/>
        <w:rPr>
          <w:rFonts w:ascii="Arial" w:hAnsi="Arial" w:cs="Arial"/>
          <w:color w:val="000000"/>
          <w:sz w:val="20"/>
          <w:szCs w:val="20"/>
        </w:rPr>
      </w:pPr>
      <w:r>
        <w:rPr>
          <w:rFonts w:ascii="Arial" w:hAnsi="Arial" w:cs="Arial"/>
          <w:color w:val="000000"/>
          <w:sz w:val="20"/>
          <w:szCs w:val="20"/>
        </w:rPr>
        <w:t>July 04, 2022</w:t>
      </w:r>
    </w:p>
    <w:p w:rsidR="00245B30" w:rsidRDefault="00245B30" w:rsidP="00245B30">
      <w:pPr>
        <w:pStyle w:val="NormalWeb"/>
        <w:rPr>
          <w:rFonts w:ascii="Arial" w:hAnsi="Arial" w:cs="Arial"/>
          <w:color w:val="000000"/>
          <w:sz w:val="20"/>
          <w:szCs w:val="20"/>
        </w:rPr>
      </w:pPr>
      <w:r>
        <w:rPr>
          <w:rFonts w:ascii="Arial" w:hAnsi="Arial" w:cs="Arial"/>
          <w:color w:val="000000"/>
          <w:sz w:val="20"/>
          <w:szCs w:val="20"/>
        </w:rPr>
        <w:t>The Chairman / Managing Director / Chief Executive Officer</w:t>
      </w:r>
      <w:r>
        <w:rPr>
          <w:rFonts w:ascii="Arial" w:hAnsi="Arial" w:cs="Arial"/>
          <w:color w:val="000000"/>
          <w:sz w:val="20"/>
          <w:szCs w:val="20"/>
        </w:rPr>
        <w:br/>
        <w:t>Bank and Non-bank Payment System Operators (PSOs)</w:t>
      </w:r>
    </w:p>
    <w:p w:rsidR="00245B30" w:rsidRDefault="00245B30" w:rsidP="00245B30">
      <w:pPr>
        <w:pStyle w:val="NormalWeb"/>
        <w:rPr>
          <w:rFonts w:ascii="Arial" w:hAnsi="Arial" w:cs="Arial"/>
          <w:color w:val="000000"/>
          <w:sz w:val="20"/>
          <w:szCs w:val="20"/>
        </w:rPr>
      </w:pPr>
      <w:r>
        <w:rPr>
          <w:rFonts w:ascii="Arial" w:hAnsi="Arial" w:cs="Arial"/>
          <w:color w:val="000000"/>
          <w:sz w:val="20"/>
          <w:szCs w:val="20"/>
        </w:rPr>
        <w:t>Madam / Dear Sir,</w:t>
      </w:r>
    </w:p>
    <w:p w:rsidR="00245B30" w:rsidRDefault="00245B30" w:rsidP="00245B30">
      <w:pPr>
        <w:pStyle w:val="head"/>
        <w:rPr>
          <w:rFonts w:ascii="Arial" w:hAnsi="Arial" w:cs="Arial"/>
          <w:b/>
          <w:bCs/>
          <w:color w:val="000000"/>
          <w:sz w:val="20"/>
          <w:szCs w:val="20"/>
        </w:rPr>
      </w:pPr>
      <w:r>
        <w:rPr>
          <w:rFonts w:ascii="Arial" w:hAnsi="Arial" w:cs="Arial"/>
          <w:b/>
          <w:bCs/>
          <w:color w:val="000000"/>
          <w:sz w:val="20"/>
          <w:szCs w:val="20"/>
        </w:rPr>
        <w:t>Requirement for obtaining prior approval in case of takeover / acquisition of control of non-bank PSOs and sale / transfer of payment system activity of non-bank PSO</w:t>
      </w:r>
    </w:p>
    <w:p w:rsidR="00245B30" w:rsidRDefault="00245B30" w:rsidP="00245B30">
      <w:pPr>
        <w:pStyle w:val="NormalWeb"/>
        <w:rPr>
          <w:rFonts w:ascii="Arial" w:hAnsi="Arial" w:cs="Arial"/>
          <w:color w:val="000000"/>
          <w:sz w:val="20"/>
          <w:szCs w:val="20"/>
        </w:rPr>
      </w:pPr>
      <w:r>
        <w:rPr>
          <w:rFonts w:ascii="Arial" w:hAnsi="Arial" w:cs="Arial"/>
          <w:color w:val="000000"/>
          <w:sz w:val="20"/>
          <w:szCs w:val="20"/>
        </w:rPr>
        <w:t>A reference is invited to Reserve Bank of India (RBI) instructions contained in paragraph 5.10 of </w:t>
      </w:r>
      <w:hyperlink r:id="rId6" w:tgtFrame="_blank" w:history="1">
        <w:r>
          <w:rPr>
            <w:rStyle w:val="Hyperlink"/>
            <w:rFonts w:ascii="Arial" w:hAnsi="Arial" w:cs="Arial"/>
            <w:sz w:val="20"/>
            <w:szCs w:val="20"/>
          </w:rPr>
          <w:t>Master Directions on Prepaid Payment Instruments dated August 27, 2021</w:t>
        </w:r>
      </w:hyperlink>
      <w:r>
        <w:rPr>
          <w:rFonts w:ascii="Arial" w:hAnsi="Arial" w:cs="Arial"/>
          <w:color w:val="000000"/>
          <w:sz w:val="20"/>
          <w:szCs w:val="20"/>
        </w:rPr>
        <w:t>, paragraph 5.2 of </w:t>
      </w:r>
      <w:hyperlink r:id="rId7" w:tgtFrame="_blank" w:history="1">
        <w:r>
          <w:rPr>
            <w:rStyle w:val="Hyperlink"/>
            <w:rFonts w:ascii="Arial" w:hAnsi="Arial" w:cs="Arial"/>
            <w:sz w:val="20"/>
            <w:szCs w:val="20"/>
          </w:rPr>
          <w:t>Guidelines on Regulation of Payment Aggregators and Payment Gateways dated March 17, 2020</w:t>
        </w:r>
      </w:hyperlink>
      <w:r>
        <w:rPr>
          <w:rFonts w:ascii="Arial" w:hAnsi="Arial" w:cs="Arial"/>
          <w:color w:val="000000"/>
          <w:sz w:val="20"/>
          <w:szCs w:val="20"/>
        </w:rPr>
        <w:t> and paragraph 3.1 of Annex-A to </w:t>
      </w:r>
      <w:hyperlink r:id="rId8" w:tgtFrame="_blank" w:history="1">
        <w:r>
          <w:rPr>
            <w:rStyle w:val="Hyperlink"/>
            <w:rFonts w:ascii="Arial" w:hAnsi="Arial" w:cs="Arial"/>
            <w:sz w:val="20"/>
            <w:szCs w:val="20"/>
          </w:rPr>
          <w:t>White Label ATM Guidelines dated June 20, 2012</w:t>
        </w:r>
      </w:hyperlink>
      <w:r>
        <w:rPr>
          <w:rFonts w:ascii="Arial" w:hAnsi="Arial" w:cs="Arial"/>
          <w:color w:val="000000"/>
          <w:sz w:val="20"/>
          <w:szCs w:val="20"/>
        </w:rPr>
        <w:t>.</w:t>
      </w:r>
    </w:p>
    <w:p w:rsidR="00245B30" w:rsidRDefault="00245B30" w:rsidP="00245B30">
      <w:pPr>
        <w:pStyle w:val="NormalWeb"/>
        <w:rPr>
          <w:rFonts w:ascii="Arial" w:hAnsi="Arial" w:cs="Arial"/>
          <w:color w:val="000000"/>
          <w:sz w:val="20"/>
          <w:szCs w:val="20"/>
        </w:rPr>
      </w:pPr>
      <w:r>
        <w:rPr>
          <w:rFonts w:ascii="Arial" w:hAnsi="Arial" w:cs="Arial"/>
          <w:color w:val="000000"/>
          <w:sz w:val="20"/>
          <w:szCs w:val="20"/>
        </w:rPr>
        <w:t>2. The operations of non-bank PSOs (authorised to operate any Payment System) have been reviewed and they shall require prior approval of RBI in the following cases –</w:t>
      </w:r>
    </w:p>
    <w:p w:rsidR="00245B30" w:rsidRDefault="00245B30" w:rsidP="00245B30">
      <w:pPr>
        <w:pStyle w:val="NormalWeb"/>
        <w:numPr>
          <w:ilvl w:val="0"/>
          <w:numId w:val="21"/>
        </w:numPr>
        <w:ind w:left="0"/>
        <w:rPr>
          <w:rFonts w:ascii="Arial" w:hAnsi="Arial" w:cs="Arial"/>
          <w:color w:val="000000"/>
          <w:sz w:val="20"/>
          <w:szCs w:val="20"/>
        </w:rPr>
      </w:pPr>
      <w:r>
        <w:rPr>
          <w:rFonts w:ascii="Arial" w:hAnsi="Arial" w:cs="Arial"/>
          <w:color w:val="000000"/>
          <w:sz w:val="20"/>
          <w:szCs w:val="20"/>
        </w:rPr>
        <w:t>Takeover / Acquisition of control, which may / may not result in change of management.</w:t>
      </w:r>
    </w:p>
    <w:p w:rsidR="00245B30" w:rsidRDefault="00245B30" w:rsidP="00245B30">
      <w:pPr>
        <w:pStyle w:val="NormalWeb"/>
        <w:numPr>
          <w:ilvl w:val="0"/>
          <w:numId w:val="21"/>
        </w:numPr>
        <w:ind w:left="0"/>
        <w:rPr>
          <w:rFonts w:ascii="Arial" w:hAnsi="Arial" w:cs="Arial"/>
          <w:color w:val="000000"/>
          <w:sz w:val="20"/>
          <w:szCs w:val="20"/>
        </w:rPr>
      </w:pPr>
      <w:r>
        <w:rPr>
          <w:rFonts w:ascii="Arial" w:hAnsi="Arial" w:cs="Arial"/>
          <w:color w:val="000000"/>
          <w:sz w:val="20"/>
          <w:szCs w:val="20"/>
        </w:rPr>
        <w:t>Sale / Transfer of payment activity to an entity not authorised for undertaking similar activity.</w:t>
      </w:r>
    </w:p>
    <w:p w:rsidR="00245B30" w:rsidRDefault="00245B30" w:rsidP="00245B30">
      <w:pPr>
        <w:pStyle w:val="NormalWeb"/>
        <w:rPr>
          <w:rFonts w:ascii="Arial" w:hAnsi="Arial" w:cs="Arial"/>
          <w:color w:val="000000"/>
          <w:sz w:val="20"/>
          <w:szCs w:val="20"/>
        </w:rPr>
      </w:pPr>
      <w:r>
        <w:rPr>
          <w:rFonts w:ascii="Arial" w:hAnsi="Arial" w:cs="Arial"/>
          <w:color w:val="000000"/>
          <w:sz w:val="20"/>
          <w:szCs w:val="20"/>
        </w:rPr>
        <w:t>3. The non-bank PSOs shall inform RBI within 15 calendar days in the following cases –</w:t>
      </w:r>
    </w:p>
    <w:p w:rsidR="00245B30" w:rsidRDefault="00245B30" w:rsidP="00245B30">
      <w:pPr>
        <w:pStyle w:val="NormalWeb"/>
        <w:numPr>
          <w:ilvl w:val="0"/>
          <w:numId w:val="22"/>
        </w:numPr>
        <w:ind w:left="0"/>
        <w:rPr>
          <w:rFonts w:ascii="Arial" w:hAnsi="Arial" w:cs="Arial"/>
          <w:color w:val="000000"/>
          <w:sz w:val="20"/>
          <w:szCs w:val="20"/>
        </w:rPr>
      </w:pPr>
      <w:r>
        <w:rPr>
          <w:rFonts w:ascii="Arial" w:hAnsi="Arial" w:cs="Arial"/>
          <w:color w:val="000000"/>
          <w:sz w:val="20"/>
          <w:szCs w:val="20"/>
        </w:rPr>
        <w:t>Change in management / directors.</w:t>
      </w:r>
    </w:p>
    <w:p w:rsidR="00245B30" w:rsidRDefault="00245B30" w:rsidP="00245B30">
      <w:pPr>
        <w:pStyle w:val="NormalWeb"/>
        <w:numPr>
          <w:ilvl w:val="0"/>
          <w:numId w:val="22"/>
        </w:numPr>
        <w:ind w:left="0"/>
        <w:rPr>
          <w:rFonts w:ascii="Arial" w:hAnsi="Arial" w:cs="Arial"/>
          <w:color w:val="000000"/>
          <w:sz w:val="20"/>
          <w:szCs w:val="20"/>
        </w:rPr>
      </w:pPr>
      <w:r>
        <w:rPr>
          <w:rFonts w:ascii="Arial" w:hAnsi="Arial" w:cs="Arial"/>
          <w:color w:val="000000"/>
          <w:sz w:val="20"/>
          <w:szCs w:val="20"/>
        </w:rPr>
        <w:t>Sale / Transfer of payment activity to an entity authorised for undertaking similar activity.</w:t>
      </w:r>
    </w:p>
    <w:p w:rsidR="00245B30" w:rsidRDefault="00245B30" w:rsidP="00245B30">
      <w:pPr>
        <w:pStyle w:val="NormalWeb"/>
        <w:rPr>
          <w:rFonts w:ascii="Arial" w:hAnsi="Arial" w:cs="Arial"/>
          <w:color w:val="000000"/>
          <w:sz w:val="20"/>
          <w:szCs w:val="20"/>
        </w:rPr>
      </w:pPr>
      <w:r>
        <w:rPr>
          <w:rFonts w:ascii="Arial" w:hAnsi="Arial" w:cs="Arial"/>
          <w:color w:val="000000"/>
          <w:sz w:val="20"/>
          <w:szCs w:val="20"/>
        </w:rPr>
        <w:t>4. Details of the requirements are given in </w:t>
      </w:r>
      <w:hyperlink r:id="rId9" w:anchor="AN1" w:history="1">
        <w:r>
          <w:rPr>
            <w:rStyle w:val="Hyperlink"/>
            <w:rFonts w:ascii="Arial" w:hAnsi="Arial" w:cs="Arial"/>
            <w:sz w:val="20"/>
            <w:szCs w:val="20"/>
          </w:rPr>
          <w:t>Annex-1</w:t>
        </w:r>
      </w:hyperlink>
      <w:r>
        <w:rPr>
          <w:rFonts w:ascii="Arial" w:hAnsi="Arial" w:cs="Arial"/>
          <w:color w:val="000000"/>
          <w:sz w:val="20"/>
          <w:szCs w:val="20"/>
        </w:rPr>
        <w:t>.</w:t>
      </w:r>
    </w:p>
    <w:p w:rsidR="00245B30" w:rsidRDefault="00245B30" w:rsidP="00245B30">
      <w:pPr>
        <w:pStyle w:val="NormalWeb"/>
        <w:rPr>
          <w:rFonts w:ascii="Arial" w:hAnsi="Arial" w:cs="Arial"/>
          <w:color w:val="000000"/>
          <w:sz w:val="20"/>
          <w:szCs w:val="20"/>
        </w:rPr>
      </w:pPr>
      <w:r>
        <w:rPr>
          <w:rFonts w:ascii="Arial" w:hAnsi="Arial" w:cs="Arial"/>
          <w:color w:val="000000"/>
          <w:sz w:val="20"/>
          <w:szCs w:val="20"/>
        </w:rPr>
        <w:t>5. This directive is issued under Section 10 (2) read with Section 18 of Payment and Settlement Systems Act, 2007 (Act 51 of 2007) and shall come into effect immediately.</w:t>
      </w:r>
    </w:p>
    <w:p w:rsidR="00245B30" w:rsidRDefault="00245B30" w:rsidP="00245B30">
      <w:pPr>
        <w:pStyle w:val="NormalWeb"/>
        <w:rPr>
          <w:rFonts w:ascii="Arial" w:hAnsi="Arial" w:cs="Arial"/>
          <w:color w:val="000000"/>
          <w:sz w:val="20"/>
          <w:szCs w:val="20"/>
        </w:rPr>
      </w:pPr>
      <w:r>
        <w:rPr>
          <w:rFonts w:ascii="Arial" w:hAnsi="Arial" w:cs="Arial"/>
          <w:color w:val="000000"/>
          <w:sz w:val="20"/>
          <w:szCs w:val="20"/>
        </w:rPr>
        <w:t>Yours faithfully,</w:t>
      </w:r>
    </w:p>
    <w:p w:rsidR="00245B30" w:rsidRDefault="00245B30" w:rsidP="00245B30">
      <w:pPr>
        <w:pStyle w:val="NormalWeb"/>
        <w:rPr>
          <w:rFonts w:ascii="Arial" w:hAnsi="Arial" w:cs="Arial"/>
          <w:color w:val="000000"/>
          <w:sz w:val="20"/>
          <w:szCs w:val="20"/>
        </w:rPr>
      </w:pPr>
      <w:r>
        <w:rPr>
          <w:rFonts w:ascii="Arial" w:hAnsi="Arial" w:cs="Arial"/>
          <w:color w:val="000000"/>
          <w:sz w:val="20"/>
          <w:szCs w:val="20"/>
        </w:rPr>
        <w:t xml:space="preserve">(P. </w:t>
      </w:r>
      <w:proofErr w:type="spellStart"/>
      <w:r>
        <w:rPr>
          <w:rFonts w:ascii="Arial" w:hAnsi="Arial" w:cs="Arial"/>
          <w:color w:val="000000"/>
          <w:sz w:val="20"/>
          <w:szCs w:val="20"/>
        </w:rPr>
        <w:t>Vasudevan</w:t>
      </w:r>
      <w:proofErr w:type="spellEnd"/>
      <w:r>
        <w:rPr>
          <w:rFonts w:ascii="Arial" w:hAnsi="Arial" w:cs="Arial"/>
          <w:color w:val="000000"/>
          <w:sz w:val="20"/>
          <w:szCs w:val="20"/>
        </w:rPr>
        <w:t>)</w:t>
      </w:r>
      <w:r>
        <w:rPr>
          <w:rFonts w:ascii="Arial" w:hAnsi="Arial" w:cs="Arial"/>
          <w:color w:val="000000"/>
          <w:sz w:val="20"/>
          <w:szCs w:val="20"/>
        </w:rPr>
        <w:br/>
        <w:t>Chief General Manager</w:t>
      </w:r>
    </w:p>
    <w:p w:rsidR="00912551" w:rsidRDefault="00912551" w:rsidP="00245B30">
      <w:pPr>
        <w:pStyle w:val="NormalWeb"/>
        <w:rPr>
          <w:rFonts w:ascii="Arial" w:hAnsi="Arial" w:cs="Arial"/>
          <w:color w:val="000000"/>
          <w:sz w:val="20"/>
          <w:szCs w:val="20"/>
        </w:rPr>
      </w:pPr>
    </w:p>
    <w:p w:rsidR="00912551" w:rsidRDefault="00912551" w:rsidP="00245B30">
      <w:pPr>
        <w:pStyle w:val="NormalWeb"/>
        <w:rPr>
          <w:rFonts w:ascii="Arial" w:hAnsi="Arial" w:cs="Arial"/>
          <w:color w:val="000000"/>
          <w:sz w:val="20"/>
          <w:szCs w:val="20"/>
        </w:rPr>
      </w:pPr>
    </w:p>
    <w:p w:rsidR="00912551" w:rsidRDefault="00912551" w:rsidP="00245B30">
      <w:pPr>
        <w:pStyle w:val="NormalWeb"/>
        <w:rPr>
          <w:rFonts w:ascii="Arial" w:hAnsi="Arial" w:cs="Arial"/>
          <w:color w:val="000000"/>
          <w:sz w:val="20"/>
          <w:szCs w:val="20"/>
        </w:rPr>
      </w:pPr>
    </w:p>
    <w:p w:rsidR="00912551" w:rsidRDefault="00912551" w:rsidP="00912551">
      <w:r>
        <w:t>More details can be referred to in the below link.</w:t>
      </w:r>
    </w:p>
    <w:p w:rsidR="00912551" w:rsidRDefault="00912551" w:rsidP="00912551">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0" w:history="1">
        <w:r w:rsidRPr="006865D6">
          <w:rPr>
            <w:rStyle w:val="Hyperlink"/>
            <w:rFonts w:ascii="Arial" w:hAnsi="Arial" w:cs="Arial"/>
            <w:bCs/>
            <w:sz w:val="20"/>
            <w:szCs w:val="20"/>
          </w:rPr>
          <w:t>https://www.rbi.org.in/Scripts/NotificationUser.aspx?Id=12348&amp;Mode=0</w:t>
        </w:r>
      </w:hyperlink>
    </w:p>
    <w:p w:rsidR="00912551" w:rsidRDefault="00912551" w:rsidP="00912551">
      <w:pPr>
        <w:pStyle w:val="NormalWeb"/>
        <w:rPr>
          <w:rFonts w:ascii="Arial" w:hAnsi="Arial" w:cs="Arial"/>
          <w:color w:val="000000"/>
          <w:sz w:val="20"/>
          <w:szCs w:val="20"/>
        </w:rPr>
      </w:pPr>
    </w:p>
    <w:p w:rsidR="0036265F" w:rsidRDefault="0036265F" w:rsidP="00B1420D">
      <w:pPr>
        <w:spacing w:line="259" w:lineRule="auto"/>
        <w:rPr>
          <w:rFonts w:ascii="Arial" w:hAnsi="Arial" w:cs="Arial"/>
          <w:sz w:val="20"/>
          <w:szCs w:val="20"/>
        </w:rPr>
      </w:pPr>
    </w:p>
    <w:p w:rsidR="00B1420D" w:rsidRDefault="00B1420D" w:rsidP="00B1420D">
      <w:pPr>
        <w:spacing w:line="259" w:lineRule="auto"/>
        <w:rPr>
          <w:rFonts w:ascii="Arial" w:hAnsi="Arial" w:cs="Arial"/>
          <w:b/>
          <w:bCs/>
          <w:color w:val="000000"/>
          <w:sz w:val="20"/>
          <w:szCs w:val="20"/>
        </w:rPr>
      </w:pPr>
      <w:r>
        <w:rPr>
          <w:rFonts w:ascii="Arial" w:hAnsi="Arial" w:cs="Arial"/>
          <w:b/>
          <w:bCs/>
          <w:color w:val="000000"/>
          <w:sz w:val="20"/>
          <w:szCs w:val="20"/>
        </w:rPr>
        <w:lastRenderedPageBreak/>
        <w:t>Restriction on Storage of Actual Card Data [i.e. Card-</w:t>
      </w:r>
      <w:proofErr w:type="gramStart"/>
      <w:r>
        <w:rPr>
          <w:rFonts w:ascii="Arial" w:hAnsi="Arial" w:cs="Arial"/>
          <w:b/>
          <w:bCs/>
          <w:color w:val="000000"/>
          <w:sz w:val="20"/>
          <w:szCs w:val="20"/>
        </w:rPr>
        <w:t>on</w:t>
      </w:r>
      <w:proofErr w:type="gramEnd"/>
      <w:r>
        <w:rPr>
          <w:rFonts w:ascii="Arial" w:hAnsi="Arial" w:cs="Arial"/>
          <w:b/>
          <w:bCs/>
          <w:color w:val="000000"/>
          <w:sz w:val="20"/>
          <w:szCs w:val="20"/>
        </w:rPr>
        <w:t>-File (</w:t>
      </w:r>
      <w:proofErr w:type="spellStart"/>
      <w:r>
        <w:rPr>
          <w:rFonts w:ascii="Arial" w:hAnsi="Arial" w:cs="Arial"/>
          <w:b/>
          <w:bCs/>
          <w:color w:val="000000"/>
          <w:sz w:val="20"/>
          <w:szCs w:val="20"/>
        </w:rPr>
        <w:t>CoF</w:t>
      </w:r>
      <w:proofErr w:type="spellEnd"/>
      <w:r>
        <w:rPr>
          <w:rFonts w:ascii="Arial" w:hAnsi="Arial" w:cs="Arial"/>
          <w:b/>
          <w:bCs/>
          <w:color w:val="000000"/>
          <w:sz w:val="20"/>
          <w:szCs w:val="20"/>
        </w:rPr>
        <w:t>)]</w:t>
      </w:r>
    </w:p>
    <w:p w:rsidR="00B1420D" w:rsidRDefault="00B1420D" w:rsidP="00B1420D">
      <w:pPr>
        <w:pStyle w:val="NormalWeb"/>
        <w:rPr>
          <w:rFonts w:ascii="Arial" w:hAnsi="Arial" w:cs="Arial"/>
          <w:color w:val="000000"/>
          <w:sz w:val="20"/>
          <w:szCs w:val="20"/>
        </w:rPr>
      </w:pPr>
      <w:r>
        <w:rPr>
          <w:rFonts w:ascii="Arial" w:hAnsi="Arial" w:cs="Arial"/>
          <w:color w:val="000000"/>
          <w:sz w:val="20"/>
          <w:szCs w:val="20"/>
        </w:rPr>
        <w:t>RBI/2022-2023/95</w:t>
      </w:r>
      <w:r>
        <w:rPr>
          <w:rFonts w:ascii="Arial" w:hAnsi="Arial" w:cs="Arial"/>
          <w:color w:val="000000"/>
          <w:sz w:val="20"/>
          <w:szCs w:val="20"/>
        </w:rPr>
        <w:br/>
        <w:t>CO.DPSS.POLC.No.S-760/02-14-003/2022-23</w:t>
      </w:r>
    </w:p>
    <w:p w:rsidR="00B1420D" w:rsidRDefault="00B1420D" w:rsidP="00B1420D">
      <w:pPr>
        <w:pStyle w:val="NormalWeb"/>
        <w:jc w:val="right"/>
        <w:rPr>
          <w:rFonts w:ascii="Arial" w:hAnsi="Arial" w:cs="Arial"/>
          <w:color w:val="000000"/>
          <w:sz w:val="20"/>
          <w:szCs w:val="20"/>
        </w:rPr>
      </w:pPr>
      <w:r>
        <w:rPr>
          <w:rFonts w:ascii="Arial" w:hAnsi="Arial" w:cs="Arial"/>
          <w:color w:val="000000"/>
          <w:sz w:val="20"/>
          <w:szCs w:val="20"/>
        </w:rPr>
        <w:t>July 28, 2022</w:t>
      </w:r>
    </w:p>
    <w:p w:rsidR="00B1420D" w:rsidRDefault="00B1420D" w:rsidP="00B1420D">
      <w:pPr>
        <w:pStyle w:val="NormalWeb"/>
        <w:rPr>
          <w:rFonts w:ascii="Arial" w:hAnsi="Arial" w:cs="Arial"/>
          <w:color w:val="000000"/>
          <w:sz w:val="20"/>
          <w:szCs w:val="20"/>
        </w:rPr>
      </w:pPr>
      <w:r>
        <w:rPr>
          <w:rFonts w:ascii="Arial" w:hAnsi="Arial" w:cs="Arial"/>
          <w:color w:val="000000"/>
          <w:sz w:val="20"/>
          <w:szCs w:val="20"/>
        </w:rPr>
        <w:t>All Payment System Providers and Payment System Participants</w:t>
      </w:r>
    </w:p>
    <w:p w:rsidR="00B1420D" w:rsidRDefault="00B1420D" w:rsidP="00B1420D">
      <w:pPr>
        <w:pStyle w:val="NormalWeb"/>
        <w:rPr>
          <w:rFonts w:ascii="Arial" w:hAnsi="Arial" w:cs="Arial"/>
          <w:color w:val="000000"/>
          <w:sz w:val="20"/>
          <w:szCs w:val="20"/>
        </w:rPr>
      </w:pPr>
      <w:r>
        <w:rPr>
          <w:rFonts w:ascii="Arial" w:hAnsi="Arial" w:cs="Arial"/>
          <w:color w:val="000000"/>
          <w:sz w:val="20"/>
          <w:szCs w:val="20"/>
        </w:rPr>
        <w:t>Madam / Dear Sir,</w:t>
      </w:r>
    </w:p>
    <w:p w:rsidR="00B1420D" w:rsidRDefault="00B1420D" w:rsidP="00B1420D">
      <w:pPr>
        <w:pStyle w:val="head"/>
        <w:rPr>
          <w:rFonts w:ascii="Arial" w:hAnsi="Arial" w:cs="Arial"/>
          <w:b/>
          <w:bCs/>
          <w:color w:val="000000"/>
          <w:sz w:val="20"/>
          <w:szCs w:val="20"/>
        </w:rPr>
      </w:pPr>
      <w:r>
        <w:rPr>
          <w:rFonts w:ascii="Arial" w:hAnsi="Arial" w:cs="Arial"/>
          <w:b/>
          <w:bCs/>
          <w:color w:val="000000"/>
          <w:sz w:val="20"/>
          <w:szCs w:val="20"/>
        </w:rPr>
        <w:t>Restriction on Storage of Actual Card Data [i.e. Card-</w:t>
      </w:r>
      <w:proofErr w:type="gramStart"/>
      <w:r>
        <w:rPr>
          <w:rFonts w:ascii="Arial" w:hAnsi="Arial" w:cs="Arial"/>
          <w:b/>
          <w:bCs/>
          <w:color w:val="000000"/>
          <w:sz w:val="20"/>
          <w:szCs w:val="20"/>
        </w:rPr>
        <w:t>on</w:t>
      </w:r>
      <w:proofErr w:type="gramEnd"/>
      <w:r>
        <w:rPr>
          <w:rFonts w:ascii="Arial" w:hAnsi="Arial" w:cs="Arial"/>
          <w:b/>
          <w:bCs/>
          <w:color w:val="000000"/>
          <w:sz w:val="20"/>
          <w:szCs w:val="20"/>
        </w:rPr>
        <w:t>-File (</w:t>
      </w:r>
      <w:proofErr w:type="spellStart"/>
      <w:r>
        <w:rPr>
          <w:rFonts w:ascii="Arial" w:hAnsi="Arial" w:cs="Arial"/>
          <w:b/>
          <w:bCs/>
          <w:color w:val="000000"/>
          <w:sz w:val="20"/>
          <w:szCs w:val="20"/>
        </w:rPr>
        <w:t>CoF</w:t>
      </w:r>
      <w:proofErr w:type="spellEnd"/>
      <w:r>
        <w:rPr>
          <w:rFonts w:ascii="Arial" w:hAnsi="Arial" w:cs="Arial"/>
          <w:b/>
          <w:bCs/>
          <w:color w:val="000000"/>
          <w:sz w:val="20"/>
          <w:szCs w:val="20"/>
        </w:rPr>
        <w:t>)]</w:t>
      </w:r>
    </w:p>
    <w:p w:rsidR="00B1420D" w:rsidRDefault="00B1420D" w:rsidP="00B1420D">
      <w:pPr>
        <w:pStyle w:val="NormalWeb"/>
        <w:rPr>
          <w:rFonts w:ascii="Arial" w:hAnsi="Arial" w:cs="Arial"/>
          <w:color w:val="000000"/>
          <w:sz w:val="20"/>
          <w:szCs w:val="20"/>
        </w:rPr>
      </w:pPr>
      <w:r>
        <w:rPr>
          <w:rFonts w:ascii="Arial" w:hAnsi="Arial" w:cs="Arial"/>
          <w:color w:val="000000"/>
          <w:sz w:val="20"/>
          <w:szCs w:val="20"/>
        </w:rPr>
        <w:t>Reference is invited to </w:t>
      </w:r>
      <w:hyperlink r:id="rId11" w:tgtFrame="_blank" w:history="1">
        <w:r>
          <w:rPr>
            <w:rStyle w:val="Hyperlink"/>
            <w:rFonts w:ascii="Arial" w:hAnsi="Arial" w:cs="Arial"/>
            <w:sz w:val="20"/>
            <w:szCs w:val="20"/>
          </w:rPr>
          <w:t>Reserve Bank of India (RBI) circulars DPSS.CO.PD.No.1810/02.14.008/2019-20 dated March 17, 2020</w:t>
        </w:r>
      </w:hyperlink>
      <w:r>
        <w:rPr>
          <w:rFonts w:ascii="Arial" w:hAnsi="Arial" w:cs="Arial"/>
          <w:color w:val="000000"/>
          <w:sz w:val="20"/>
          <w:szCs w:val="20"/>
        </w:rPr>
        <w:t> and </w:t>
      </w:r>
      <w:hyperlink r:id="rId12" w:tgtFrame="_blank" w:history="1">
        <w:r>
          <w:rPr>
            <w:rStyle w:val="Hyperlink"/>
            <w:rFonts w:ascii="Arial" w:hAnsi="Arial" w:cs="Arial"/>
            <w:sz w:val="20"/>
            <w:szCs w:val="20"/>
          </w:rPr>
          <w:t>CO.DPSS.POLC.No.S33/02-14-008/2020-2021 dated March 31, 2021</w:t>
        </w:r>
      </w:hyperlink>
      <w:r>
        <w:rPr>
          <w:rFonts w:ascii="Arial" w:hAnsi="Arial" w:cs="Arial"/>
          <w:color w:val="000000"/>
          <w:sz w:val="20"/>
          <w:szCs w:val="20"/>
        </w:rPr>
        <w:t> on “Guidelines on Regulation of Payment Aggregators and Payment Gateways”, </w:t>
      </w:r>
      <w:hyperlink r:id="rId13" w:tgtFrame="_blank" w:history="1">
        <w:r>
          <w:rPr>
            <w:rStyle w:val="Hyperlink"/>
            <w:rFonts w:ascii="Arial" w:hAnsi="Arial" w:cs="Arial"/>
            <w:sz w:val="20"/>
            <w:szCs w:val="20"/>
          </w:rPr>
          <w:t>circular CO.DPSS.POLC.No.S-516/02-14-003/2021-22 dated September 07, 2021</w:t>
        </w:r>
      </w:hyperlink>
      <w:r>
        <w:rPr>
          <w:rFonts w:ascii="Arial" w:hAnsi="Arial" w:cs="Arial"/>
          <w:color w:val="000000"/>
          <w:sz w:val="20"/>
          <w:szCs w:val="20"/>
        </w:rPr>
        <w:t> on “Tokenisation – Card Transactions: Permitting Card-on-File Tokenisation (</w:t>
      </w:r>
      <w:proofErr w:type="spellStart"/>
      <w:r>
        <w:rPr>
          <w:rFonts w:ascii="Arial" w:hAnsi="Arial" w:cs="Arial"/>
          <w:color w:val="000000"/>
          <w:sz w:val="20"/>
          <w:szCs w:val="20"/>
        </w:rPr>
        <w:t>CoFT</w:t>
      </w:r>
      <w:proofErr w:type="spellEnd"/>
      <w:r>
        <w:rPr>
          <w:rFonts w:ascii="Arial" w:hAnsi="Arial" w:cs="Arial"/>
          <w:color w:val="000000"/>
          <w:sz w:val="20"/>
          <w:szCs w:val="20"/>
        </w:rPr>
        <w:t>) Services” and, </w:t>
      </w:r>
      <w:hyperlink r:id="rId14" w:tgtFrame="_blank" w:history="1">
        <w:r>
          <w:rPr>
            <w:rStyle w:val="Hyperlink"/>
            <w:rFonts w:ascii="Arial" w:hAnsi="Arial" w:cs="Arial"/>
            <w:sz w:val="20"/>
            <w:szCs w:val="20"/>
          </w:rPr>
          <w:t>circulars CO.DPSS.POLC.No.S-1211/02-14-003/2021-22 dated December 23, 2021</w:t>
        </w:r>
      </w:hyperlink>
      <w:r>
        <w:rPr>
          <w:rFonts w:ascii="Arial" w:hAnsi="Arial" w:cs="Arial"/>
          <w:color w:val="000000"/>
          <w:sz w:val="20"/>
          <w:szCs w:val="20"/>
        </w:rPr>
        <w:t> and </w:t>
      </w:r>
      <w:hyperlink r:id="rId15" w:tgtFrame="_blank" w:history="1">
        <w:r>
          <w:rPr>
            <w:rStyle w:val="Hyperlink"/>
            <w:rFonts w:ascii="Arial" w:hAnsi="Arial" w:cs="Arial"/>
            <w:sz w:val="20"/>
            <w:szCs w:val="20"/>
          </w:rPr>
          <w:t>CO.DPSS.POLC.No.S-567/02-14-003/2022-23 dated June 24, 2022</w:t>
        </w:r>
      </w:hyperlink>
      <w:r>
        <w:rPr>
          <w:rFonts w:ascii="Arial" w:hAnsi="Arial" w:cs="Arial"/>
          <w:color w:val="000000"/>
          <w:sz w:val="20"/>
          <w:szCs w:val="20"/>
        </w:rPr>
        <w:t> on “Restriction on Storage of Actual Card Data [i.e. Card-on-File (</w:t>
      </w:r>
      <w:proofErr w:type="spellStart"/>
      <w:r>
        <w:rPr>
          <w:rFonts w:ascii="Arial" w:hAnsi="Arial" w:cs="Arial"/>
          <w:color w:val="000000"/>
          <w:sz w:val="20"/>
          <w:szCs w:val="20"/>
        </w:rPr>
        <w:t>CoF</w:t>
      </w:r>
      <w:proofErr w:type="spellEnd"/>
      <w:r>
        <w:rPr>
          <w:rFonts w:ascii="Arial" w:hAnsi="Arial" w:cs="Arial"/>
          <w:color w:val="000000"/>
          <w:sz w:val="20"/>
          <w:szCs w:val="20"/>
        </w:rPr>
        <w:t>)]”.</w:t>
      </w:r>
    </w:p>
    <w:p w:rsidR="00B1420D" w:rsidRDefault="00B1420D" w:rsidP="00B1420D">
      <w:pPr>
        <w:pStyle w:val="NormalWeb"/>
        <w:rPr>
          <w:rFonts w:ascii="Arial" w:hAnsi="Arial" w:cs="Arial"/>
          <w:color w:val="000000"/>
          <w:sz w:val="20"/>
          <w:szCs w:val="20"/>
        </w:rPr>
      </w:pPr>
      <w:r>
        <w:rPr>
          <w:rFonts w:ascii="Arial" w:hAnsi="Arial" w:cs="Arial"/>
          <w:color w:val="000000"/>
          <w:sz w:val="20"/>
          <w:szCs w:val="20"/>
        </w:rPr>
        <w:t xml:space="preserve">2. In terms of the above circulars, with effect from October 1, 2022, no entity in the card transaction / payment chain, other than the card issuers and / or card networks, shall store </w:t>
      </w:r>
      <w:proofErr w:type="spellStart"/>
      <w:r>
        <w:rPr>
          <w:rFonts w:ascii="Arial" w:hAnsi="Arial" w:cs="Arial"/>
          <w:color w:val="000000"/>
          <w:sz w:val="20"/>
          <w:szCs w:val="20"/>
        </w:rPr>
        <w:t>CoF</w:t>
      </w:r>
      <w:proofErr w:type="spellEnd"/>
      <w:r>
        <w:rPr>
          <w:rFonts w:ascii="Arial" w:hAnsi="Arial" w:cs="Arial"/>
          <w:color w:val="000000"/>
          <w:sz w:val="20"/>
          <w:szCs w:val="20"/>
        </w:rPr>
        <w:t xml:space="preserve"> data, and any such data stored previously shall be purged.</w:t>
      </w:r>
    </w:p>
    <w:p w:rsidR="00B1420D" w:rsidRDefault="00B1420D" w:rsidP="00C93B49">
      <w:pPr>
        <w:pStyle w:val="NormalWeb"/>
        <w:spacing w:after="0" w:afterAutospacing="0"/>
        <w:rPr>
          <w:rFonts w:ascii="Arial" w:hAnsi="Arial" w:cs="Arial"/>
          <w:color w:val="000000"/>
          <w:sz w:val="20"/>
          <w:szCs w:val="20"/>
        </w:rPr>
      </w:pPr>
      <w:r>
        <w:rPr>
          <w:rFonts w:ascii="Arial" w:hAnsi="Arial" w:cs="Arial"/>
          <w:color w:val="000000"/>
          <w:sz w:val="20"/>
          <w:szCs w:val="20"/>
        </w:rPr>
        <w:t>3. On a review of the issues involved and after detailed discussions thereon with all stakeholders, as also keeping in view that sufficient time has elapsed since the requirements were specified, the following are advised –</w:t>
      </w:r>
    </w:p>
    <w:p w:rsidR="00B1420D" w:rsidRDefault="00B1420D" w:rsidP="00C93B49">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a) There shall be no change in the effective date of implementation of the requirements – all entities, except card issuers and card networks, shall purge the </w:t>
      </w:r>
      <w:proofErr w:type="spellStart"/>
      <w:r>
        <w:rPr>
          <w:rFonts w:ascii="Arial" w:hAnsi="Arial" w:cs="Arial"/>
          <w:color w:val="000000"/>
          <w:sz w:val="20"/>
          <w:szCs w:val="20"/>
        </w:rPr>
        <w:t>CoF</w:t>
      </w:r>
      <w:proofErr w:type="spellEnd"/>
      <w:r>
        <w:rPr>
          <w:rFonts w:ascii="Arial" w:hAnsi="Arial" w:cs="Arial"/>
          <w:color w:val="000000"/>
          <w:sz w:val="20"/>
          <w:szCs w:val="20"/>
        </w:rPr>
        <w:t xml:space="preserve"> data before October 1, 2022.</w:t>
      </w:r>
    </w:p>
    <w:p w:rsidR="00B1420D" w:rsidRDefault="00B1420D" w:rsidP="00C93B49">
      <w:pPr>
        <w:pStyle w:val="NormalWeb"/>
        <w:spacing w:before="0" w:beforeAutospacing="0"/>
        <w:rPr>
          <w:rFonts w:ascii="Arial" w:hAnsi="Arial" w:cs="Arial"/>
          <w:color w:val="000000"/>
          <w:sz w:val="20"/>
          <w:szCs w:val="20"/>
        </w:rPr>
      </w:pPr>
      <w:r>
        <w:rPr>
          <w:rFonts w:ascii="Arial" w:hAnsi="Arial" w:cs="Arial"/>
          <w:color w:val="000000"/>
          <w:sz w:val="20"/>
          <w:szCs w:val="20"/>
        </w:rPr>
        <w:t>b) For ease of transition to an alternate system in respect of transactions where cardholders decide to enter the card details manually at the time of undertaking the transaction (commonly referred to as “guest checkout transactions”), the following are being permitted as an </w:t>
      </w:r>
      <w:r>
        <w:rPr>
          <w:rFonts w:ascii="Arial" w:hAnsi="Arial" w:cs="Arial"/>
          <w:color w:val="000000"/>
          <w:sz w:val="20"/>
          <w:szCs w:val="20"/>
          <w:u w:val="single"/>
        </w:rPr>
        <w:t>interim measure</w:t>
      </w:r>
      <w:r>
        <w:rPr>
          <w:rFonts w:ascii="Arial" w:hAnsi="Arial" w:cs="Arial"/>
          <w:color w:val="000000"/>
          <w:sz w:val="20"/>
          <w:szCs w:val="20"/>
        </w:rPr>
        <w:t> –</w:t>
      </w:r>
    </w:p>
    <w:p w:rsidR="00B1420D" w:rsidRDefault="00B1420D" w:rsidP="00B1420D">
      <w:pPr>
        <w:pStyle w:val="NormalWeb"/>
        <w:numPr>
          <w:ilvl w:val="0"/>
          <w:numId w:val="23"/>
        </w:numPr>
        <w:ind w:left="0"/>
        <w:rPr>
          <w:rFonts w:ascii="Arial" w:hAnsi="Arial" w:cs="Arial"/>
          <w:color w:val="000000"/>
          <w:sz w:val="20"/>
          <w:szCs w:val="20"/>
        </w:rPr>
      </w:pPr>
      <w:r>
        <w:rPr>
          <w:rFonts w:ascii="Arial" w:hAnsi="Arial" w:cs="Arial"/>
          <w:color w:val="000000"/>
          <w:sz w:val="20"/>
          <w:szCs w:val="20"/>
        </w:rPr>
        <w:t xml:space="preserve">Other than the card issuer and the card network, the merchant or its Payment Aggregator (PA) involved in settlement of such transactions, can save the </w:t>
      </w:r>
      <w:proofErr w:type="spellStart"/>
      <w:r>
        <w:rPr>
          <w:rFonts w:ascii="Arial" w:hAnsi="Arial" w:cs="Arial"/>
          <w:color w:val="000000"/>
          <w:sz w:val="20"/>
          <w:szCs w:val="20"/>
        </w:rPr>
        <w:t>CoF</w:t>
      </w:r>
      <w:proofErr w:type="spellEnd"/>
      <w:r>
        <w:rPr>
          <w:rFonts w:ascii="Arial" w:hAnsi="Arial" w:cs="Arial"/>
          <w:color w:val="000000"/>
          <w:sz w:val="20"/>
          <w:szCs w:val="20"/>
        </w:rPr>
        <w:t xml:space="preserve"> data for a maximum period of T+4 days (“T” being the transaction date) or till the settlement date, whichever is earlier. This data shall be used only for settlement of such transactions, and must be purged thereafter.</w:t>
      </w:r>
    </w:p>
    <w:p w:rsidR="00B1420D" w:rsidRDefault="00B1420D" w:rsidP="00B1420D">
      <w:pPr>
        <w:pStyle w:val="NormalWeb"/>
        <w:numPr>
          <w:ilvl w:val="0"/>
          <w:numId w:val="23"/>
        </w:numPr>
        <w:ind w:left="0"/>
        <w:rPr>
          <w:rFonts w:ascii="Arial" w:hAnsi="Arial" w:cs="Arial"/>
          <w:color w:val="000000"/>
          <w:sz w:val="20"/>
          <w:szCs w:val="20"/>
        </w:rPr>
      </w:pPr>
      <w:r>
        <w:rPr>
          <w:rFonts w:ascii="Arial" w:hAnsi="Arial" w:cs="Arial"/>
          <w:color w:val="000000"/>
          <w:sz w:val="20"/>
          <w:szCs w:val="20"/>
        </w:rPr>
        <w:t xml:space="preserve">For handling other post-transaction activities, acquiring banks can continue to store </w:t>
      </w:r>
      <w:proofErr w:type="spellStart"/>
      <w:r>
        <w:rPr>
          <w:rFonts w:ascii="Arial" w:hAnsi="Arial" w:cs="Arial"/>
          <w:color w:val="000000"/>
          <w:sz w:val="20"/>
          <w:szCs w:val="20"/>
        </w:rPr>
        <w:t>CoF</w:t>
      </w:r>
      <w:proofErr w:type="spellEnd"/>
      <w:r>
        <w:rPr>
          <w:rFonts w:ascii="Arial" w:hAnsi="Arial" w:cs="Arial"/>
          <w:color w:val="000000"/>
          <w:sz w:val="20"/>
          <w:szCs w:val="20"/>
        </w:rPr>
        <w:t xml:space="preserve"> data until January 31, 2023.</w:t>
      </w:r>
    </w:p>
    <w:p w:rsidR="00B1420D" w:rsidRDefault="00B1420D" w:rsidP="00B1420D">
      <w:pPr>
        <w:pStyle w:val="NormalWeb"/>
        <w:rPr>
          <w:rFonts w:ascii="Arial" w:hAnsi="Arial" w:cs="Arial"/>
          <w:color w:val="000000"/>
          <w:sz w:val="20"/>
          <w:szCs w:val="20"/>
        </w:rPr>
      </w:pPr>
      <w:r>
        <w:rPr>
          <w:rFonts w:ascii="Arial" w:hAnsi="Arial" w:cs="Arial"/>
          <w:color w:val="000000"/>
          <w:sz w:val="20"/>
          <w:szCs w:val="20"/>
        </w:rPr>
        <w:t>4. Appropriate penal action, including imposition of business restrictions, shall be considered by the RBI in case of any non-compliance.</w:t>
      </w:r>
    </w:p>
    <w:p w:rsidR="00B1420D" w:rsidRDefault="00B1420D" w:rsidP="00B1420D">
      <w:pPr>
        <w:pStyle w:val="NormalWeb"/>
        <w:rPr>
          <w:rFonts w:ascii="Arial" w:hAnsi="Arial" w:cs="Arial"/>
          <w:color w:val="000000"/>
          <w:sz w:val="20"/>
          <w:szCs w:val="20"/>
        </w:rPr>
      </w:pPr>
      <w:r>
        <w:rPr>
          <w:rFonts w:ascii="Arial" w:hAnsi="Arial" w:cs="Arial"/>
          <w:color w:val="000000"/>
          <w:sz w:val="20"/>
          <w:szCs w:val="20"/>
        </w:rPr>
        <w:t>5. This directive is issued under Section 10 (2) read with Section 18 of the Payment and Settlement Systems Act, 2007 (Act 51 of 2007).</w:t>
      </w:r>
    </w:p>
    <w:p w:rsidR="00B1420D" w:rsidRDefault="00B1420D" w:rsidP="00C93B49">
      <w:pPr>
        <w:pStyle w:val="NormalWeb"/>
        <w:spacing w:after="0" w:afterAutospacing="0"/>
        <w:rPr>
          <w:rFonts w:ascii="Arial" w:hAnsi="Arial" w:cs="Arial"/>
          <w:color w:val="000000"/>
          <w:sz w:val="20"/>
          <w:szCs w:val="20"/>
        </w:rPr>
      </w:pPr>
      <w:r>
        <w:rPr>
          <w:rFonts w:ascii="Arial" w:hAnsi="Arial" w:cs="Arial"/>
          <w:color w:val="000000"/>
          <w:sz w:val="20"/>
          <w:szCs w:val="20"/>
        </w:rPr>
        <w:t>Yours faithfully,</w:t>
      </w:r>
    </w:p>
    <w:p w:rsidR="00B1420D" w:rsidRDefault="00B1420D" w:rsidP="00C93B49">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(P. </w:t>
      </w:r>
      <w:proofErr w:type="spellStart"/>
      <w:r>
        <w:rPr>
          <w:rFonts w:ascii="Arial" w:hAnsi="Arial" w:cs="Arial"/>
          <w:color w:val="000000"/>
          <w:sz w:val="20"/>
          <w:szCs w:val="20"/>
        </w:rPr>
        <w:t>Vasudevan</w:t>
      </w:r>
      <w:proofErr w:type="spellEnd"/>
      <w:r>
        <w:rPr>
          <w:rFonts w:ascii="Arial" w:hAnsi="Arial" w:cs="Arial"/>
          <w:color w:val="000000"/>
          <w:sz w:val="20"/>
          <w:szCs w:val="20"/>
        </w:rPr>
        <w:t>)</w:t>
      </w:r>
      <w:r>
        <w:rPr>
          <w:rFonts w:ascii="Arial" w:hAnsi="Arial" w:cs="Arial"/>
          <w:color w:val="000000"/>
          <w:sz w:val="20"/>
          <w:szCs w:val="20"/>
        </w:rPr>
        <w:br/>
        <w:t>Chief General Manager</w:t>
      </w:r>
    </w:p>
    <w:p w:rsidR="00B1420D" w:rsidRDefault="00B1420D" w:rsidP="00B1420D">
      <w:pPr>
        <w:spacing w:line="259" w:lineRule="auto"/>
        <w:rPr>
          <w:rFonts w:ascii="Arial" w:hAnsi="Arial" w:cs="Arial"/>
          <w:sz w:val="20"/>
          <w:szCs w:val="20"/>
        </w:rPr>
      </w:pPr>
    </w:p>
    <w:p w:rsidR="00C93B49" w:rsidRDefault="00C93B49" w:rsidP="00B1420D">
      <w:pPr>
        <w:spacing w:line="259" w:lineRule="auto"/>
        <w:rPr>
          <w:rFonts w:ascii="Arial" w:hAnsi="Arial" w:cs="Arial"/>
          <w:sz w:val="20"/>
          <w:szCs w:val="20"/>
        </w:rPr>
      </w:pPr>
    </w:p>
    <w:p w:rsidR="00C93B49" w:rsidRDefault="00C93B49" w:rsidP="00C93B49">
      <w:r>
        <w:t>More details can be referred to in the below link.</w:t>
      </w:r>
    </w:p>
    <w:p w:rsidR="0036265F" w:rsidRDefault="00C93B49" w:rsidP="0036265F">
      <w:pPr>
        <w:spacing w:line="259" w:lineRule="auto"/>
        <w:rPr>
          <w:rStyle w:val="Hyperlink"/>
          <w:rFonts w:ascii="Arial" w:hAnsi="Arial" w:cs="Arial"/>
          <w:bCs/>
          <w:sz w:val="20"/>
          <w:szCs w:val="20"/>
        </w:rPr>
      </w:pPr>
      <w:r>
        <w:rPr>
          <w:rFonts w:ascii="Arial" w:hAnsi="Arial" w:cs="Arial"/>
          <w:bCs/>
          <w:color w:val="000000"/>
          <w:sz w:val="20"/>
          <w:szCs w:val="20"/>
        </w:rPr>
        <w:t xml:space="preserve">Reference Link: </w:t>
      </w:r>
      <w:hyperlink r:id="rId16" w:history="1">
        <w:r w:rsidRPr="006865D6">
          <w:rPr>
            <w:rStyle w:val="Hyperlink"/>
            <w:rFonts w:ascii="Arial" w:hAnsi="Arial" w:cs="Arial"/>
            <w:bCs/>
            <w:sz w:val="20"/>
            <w:szCs w:val="20"/>
          </w:rPr>
          <w:t>https://www.rbi.org.in/scripts/BS_CircularIndexDisplay.aspx?Id=12363</w:t>
        </w:r>
      </w:hyperlink>
    </w:p>
    <w:p w:rsidR="00436D36" w:rsidRPr="0036265F" w:rsidRDefault="00436D36" w:rsidP="0036265F">
      <w:pPr>
        <w:spacing w:line="259" w:lineRule="auto"/>
        <w:rPr>
          <w:rFonts w:ascii="Arial" w:hAnsi="Arial" w:cs="Arial"/>
          <w:bCs/>
          <w:color w:val="000000"/>
          <w:sz w:val="20"/>
          <w:szCs w:val="20"/>
        </w:rPr>
      </w:pPr>
      <w:r>
        <w:rPr>
          <w:rFonts w:ascii="Arial" w:hAnsi="Arial" w:cs="Arial"/>
          <w:b/>
          <w:bCs/>
          <w:color w:val="000000"/>
          <w:sz w:val="20"/>
          <w:szCs w:val="20"/>
        </w:rPr>
        <w:lastRenderedPageBreak/>
        <w:t>Reserve Bank - Integrated Ombudsman Scheme, 2021 (RBIOS, 2021)</w:t>
      </w:r>
    </w:p>
    <w:p w:rsidR="00436D36" w:rsidRDefault="00436D36" w:rsidP="00436D36">
      <w:pPr>
        <w:pStyle w:val="head"/>
        <w:rPr>
          <w:rFonts w:ascii="Arial" w:hAnsi="Arial" w:cs="Arial"/>
          <w:b/>
          <w:bCs/>
          <w:color w:val="000000"/>
          <w:sz w:val="20"/>
          <w:szCs w:val="20"/>
        </w:rPr>
      </w:pPr>
      <w:r>
        <w:rPr>
          <w:rFonts w:ascii="Arial" w:hAnsi="Arial" w:cs="Arial"/>
          <w:b/>
          <w:bCs/>
          <w:color w:val="000000"/>
          <w:sz w:val="20"/>
          <w:szCs w:val="20"/>
        </w:rPr>
        <w:t>EXECUTIVE DIRECTOR</w:t>
      </w:r>
    </w:p>
    <w:p w:rsidR="00436D36" w:rsidRDefault="00436D36" w:rsidP="00436D36">
      <w:pPr>
        <w:pStyle w:val="head"/>
        <w:rPr>
          <w:rFonts w:ascii="Arial" w:hAnsi="Arial" w:cs="Arial"/>
          <w:b/>
          <w:bCs/>
          <w:color w:val="000000"/>
          <w:sz w:val="20"/>
          <w:szCs w:val="20"/>
        </w:rPr>
      </w:pPr>
      <w:r>
        <w:rPr>
          <w:rFonts w:ascii="Arial" w:hAnsi="Arial" w:cs="Arial"/>
          <w:b/>
          <w:bCs/>
          <w:color w:val="000000"/>
          <w:sz w:val="20"/>
          <w:szCs w:val="20"/>
        </w:rPr>
        <w:t>Reserve Bank of India</w:t>
      </w:r>
      <w:r>
        <w:rPr>
          <w:rFonts w:ascii="Arial" w:hAnsi="Arial" w:cs="Arial"/>
          <w:b/>
          <w:bCs/>
          <w:color w:val="000000"/>
          <w:sz w:val="20"/>
          <w:szCs w:val="20"/>
        </w:rPr>
        <w:br/>
        <w:t>Mumbai</w:t>
      </w:r>
    </w:p>
    <w:p w:rsidR="00436D36" w:rsidRDefault="00436D36" w:rsidP="00DE6119">
      <w:pPr>
        <w:pStyle w:val="head"/>
        <w:jc w:val="center"/>
        <w:rPr>
          <w:rFonts w:ascii="Arial" w:hAnsi="Arial" w:cs="Arial"/>
          <w:b/>
          <w:bCs/>
          <w:color w:val="000000"/>
          <w:sz w:val="20"/>
          <w:szCs w:val="20"/>
        </w:rPr>
      </w:pPr>
      <w:r>
        <w:rPr>
          <w:rFonts w:ascii="Arial" w:hAnsi="Arial" w:cs="Arial"/>
          <w:b/>
          <w:bCs/>
          <w:color w:val="000000"/>
          <w:sz w:val="20"/>
          <w:szCs w:val="20"/>
        </w:rPr>
        <w:t>Reserve Bank - Integrated Ombudsman Scheme, 2021 (RBIOS, 2021)</w:t>
      </w:r>
    </w:p>
    <w:p w:rsidR="00436D36" w:rsidRDefault="00436D36" w:rsidP="00DE6119">
      <w:pPr>
        <w:pStyle w:val="head"/>
        <w:jc w:val="center"/>
        <w:rPr>
          <w:rFonts w:ascii="Arial" w:hAnsi="Arial" w:cs="Arial"/>
          <w:b/>
          <w:bCs/>
          <w:color w:val="000000"/>
          <w:sz w:val="20"/>
          <w:szCs w:val="20"/>
        </w:rPr>
      </w:pPr>
      <w:r>
        <w:rPr>
          <w:rFonts w:ascii="Arial" w:hAnsi="Arial" w:cs="Arial"/>
          <w:b/>
          <w:bCs/>
          <w:color w:val="000000"/>
          <w:sz w:val="20"/>
          <w:szCs w:val="20"/>
          <w:u w:val="single"/>
        </w:rPr>
        <w:t>NOTIFICATION</w:t>
      </w:r>
    </w:p>
    <w:p w:rsidR="00436D36" w:rsidRDefault="00436D36" w:rsidP="00436D36">
      <w:pPr>
        <w:pStyle w:val="NormalWeb"/>
        <w:rPr>
          <w:rFonts w:ascii="Arial" w:hAnsi="Arial" w:cs="Arial"/>
          <w:color w:val="000000"/>
          <w:sz w:val="20"/>
          <w:szCs w:val="20"/>
        </w:rPr>
      </w:pPr>
      <w:proofErr w:type="gramStart"/>
      <w:r>
        <w:rPr>
          <w:rFonts w:ascii="Arial" w:hAnsi="Arial" w:cs="Arial"/>
          <w:color w:val="000000"/>
          <w:sz w:val="20"/>
          <w:szCs w:val="20"/>
        </w:rPr>
        <w:t>Ref.CEPD.PRD.No.S</w:t>
      </w:r>
      <w:proofErr w:type="gramEnd"/>
      <w:r>
        <w:rPr>
          <w:rFonts w:ascii="Arial" w:hAnsi="Arial" w:cs="Arial"/>
          <w:color w:val="000000"/>
          <w:sz w:val="20"/>
          <w:szCs w:val="20"/>
        </w:rPr>
        <w:t>544/13.01.001/2022-23</w:t>
      </w:r>
    </w:p>
    <w:p w:rsidR="00436D36" w:rsidRDefault="00436D36" w:rsidP="00DE6119">
      <w:pPr>
        <w:pStyle w:val="NormalWeb"/>
        <w:jc w:val="right"/>
        <w:rPr>
          <w:rFonts w:ascii="Arial" w:hAnsi="Arial" w:cs="Arial"/>
          <w:color w:val="000000"/>
          <w:sz w:val="20"/>
          <w:szCs w:val="20"/>
        </w:rPr>
      </w:pPr>
      <w:r>
        <w:rPr>
          <w:rFonts w:ascii="Arial" w:hAnsi="Arial" w:cs="Arial"/>
          <w:color w:val="000000"/>
          <w:sz w:val="20"/>
          <w:szCs w:val="20"/>
        </w:rPr>
        <w:t>August 5, 2022</w:t>
      </w:r>
    </w:p>
    <w:p w:rsidR="00436D36" w:rsidRDefault="00436D36" w:rsidP="00436D36">
      <w:pPr>
        <w:pStyle w:val="NormalWeb"/>
        <w:rPr>
          <w:rFonts w:ascii="Arial" w:hAnsi="Arial" w:cs="Arial"/>
          <w:color w:val="000000"/>
          <w:sz w:val="20"/>
          <w:szCs w:val="20"/>
        </w:rPr>
      </w:pPr>
      <w:r>
        <w:rPr>
          <w:rFonts w:ascii="Arial" w:hAnsi="Arial" w:cs="Arial"/>
          <w:color w:val="000000"/>
          <w:sz w:val="20"/>
          <w:szCs w:val="20"/>
        </w:rPr>
        <w:t>In exercise of the powers conferred by sub section (1) of Section 11 of the Credit Information Companies (Regulation) Act, 2005, and in partial modification of its </w:t>
      </w:r>
      <w:hyperlink r:id="rId17" w:tgtFrame="_blank" w:history="1">
        <w:r>
          <w:rPr>
            <w:rStyle w:val="Hyperlink"/>
            <w:rFonts w:ascii="Arial" w:hAnsi="Arial" w:cs="Arial"/>
            <w:sz w:val="20"/>
            <w:szCs w:val="20"/>
          </w:rPr>
          <w:t>notification CEPD. PRD. No. S873/13.01.001/2021-22 dated November 12, 2021</w:t>
        </w:r>
      </w:hyperlink>
      <w:r>
        <w:rPr>
          <w:rFonts w:ascii="Arial" w:hAnsi="Arial" w:cs="Arial"/>
          <w:color w:val="000000"/>
          <w:sz w:val="20"/>
          <w:szCs w:val="20"/>
        </w:rPr>
        <w:t>, the Reserve Bank of India, being satisfied that it is in public interest to do so, and to provide an avenue for cost free alternate grievance redress to customers of regulated entities covered under the RBIOS 2021 (the Scheme) for grievances against Credit Information Companies, hereby directs that the ‘Credit Information Company’ as defined in the Credit Information Companies (Regulation) Act, 2005, shall also be treated as a ‘Regulated Entity’ for the purpose of the Scheme.</w:t>
      </w:r>
    </w:p>
    <w:p w:rsidR="00436D36" w:rsidRDefault="00436D36" w:rsidP="00436D36">
      <w:pPr>
        <w:pStyle w:val="NormalWeb"/>
        <w:rPr>
          <w:rFonts w:ascii="Arial" w:hAnsi="Arial" w:cs="Arial"/>
          <w:color w:val="000000"/>
          <w:sz w:val="20"/>
          <w:szCs w:val="20"/>
        </w:rPr>
      </w:pPr>
      <w:r>
        <w:rPr>
          <w:rFonts w:ascii="Arial" w:hAnsi="Arial" w:cs="Arial"/>
          <w:color w:val="000000"/>
          <w:sz w:val="20"/>
          <w:szCs w:val="20"/>
        </w:rPr>
        <w:t>2. As a result, the Scheme shall also be applicable to Credit Information Companies to the extent not specifically excluded under the Scheme.</w:t>
      </w:r>
    </w:p>
    <w:p w:rsidR="00436D36" w:rsidRDefault="00436D36" w:rsidP="00436D36">
      <w:pPr>
        <w:pStyle w:val="NormalWeb"/>
        <w:rPr>
          <w:rFonts w:ascii="Arial" w:hAnsi="Arial" w:cs="Arial"/>
          <w:color w:val="000000"/>
          <w:sz w:val="20"/>
          <w:szCs w:val="20"/>
        </w:rPr>
      </w:pPr>
      <w:r>
        <w:rPr>
          <w:rFonts w:ascii="Arial" w:hAnsi="Arial" w:cs="Arial"/>
          <w:color w:val="000000"/>
          <w:sz w:val="20"/>
          <w:szCs w:val="20"/>
        </w:rPr>
        <w:t xml:space="preserve">3. The amendment in the Scheme shall come into force </w:t>
      </w:r>
      <w:proofErr w:type="spellStart"/>
      <w:r>
        <w:rPr>
          <w:rFonts w:ascii="Arial" w:hAnsi="Arial" w:cs="Arial"/>
          <w:color w:val="000000"/>
          <w:sz w:val="20"/>
          <w:szCs w:val="20"/>
        </w:rPr>
        <w:t>w.e.f</w:t>
      </w:r>
      <w:proofErr w:type="spellEnd"/>
      <w:r>
        <w:rPr>
          <w:rFonts w:ascii="Arial" w:hAnsi="Arial" w:cs="Arial"/>
          <w:color w:val="000000"/>
          <w:sz w:val="20"/>
          <w:szCs w:val="20"/>
        </w:rPr>
        <w:t>. September 1, 2022.</w:t>
      </w:r>
    </w:p>
    <w:p w:rsidR="00436D36" w:rsidRDefault="00436D36" w:rsidP="00436D36">
      <w:pPr>
        <w:pStyle w:val="NormalWeb"/>
        <w:rPr>
          <w:rFonts w:ascii="Arial" w:hAnsi="Arial" w:cs="Arial"/>
          <w:color w:val="000000"/>
          <w:sz w:val="20"/>
          <w:szCs w:val="20"/>
        </w:rPr>
      </w:pPr>
      <w:r>
        <w:rPr>
          <w:rFonts w:ascii="Arial" w:hAnsi="Arial" w:cs="Arial"/>
          <w:color w:val="000000"/>
          <w:sz w:val="20"/>
          <w:szCs w:val="20"/>
        </w:rPr>
        <w:t>4. An updated version of the Scheme is </w:t>
      </w:r>
      <w:hyperlink r:id="rId18" w:tgtFrame="_blank" w:history="1">
        <w:r>
          <w:rPr>
            <w:rStyle w:val="Hyperlink"/>
            <w:rFonts w:ascii="Arial" w:hAnsi="Arial" w:cs="Arial"/>
            <w:sz w:val="20"/>
            <w:szCs w:val="20"/>
          </w:rPr>
          <w:t>annexed</w:t>
        </w:r>
      </w:hyperlink>
      <w:r>
        <w:rPr>
          <w:rFonts w:ascii="Arial" w:hAnsi="Arial" w:cs="Arial"/>
          <w:color w:val="000000"/>
          <w:sz w:val="20"/>
          <w:szCs w:val="20"/>
        </w:rPr>
        <w:t>.</w:t>
      </w:r>
    </w:p>
    <w:p w:rsidR="00436D36" w:rsidRDefault="00436D36" w:rsidP="00436D36">
      <w:pPr>
        <w:pStyle w:val="NormalWeb"/>
        <w:rPr>
          <w:rFonts w:ascii="Arial" w:hAnsi="Arial" w:cs="Arial"/>
          <w:color w:val="000000"/>
          <w:sz w:val="20"/>
          <w:szCs w:val="20"/>
        </w:rPr>
      </w:pPr>
      <w:r>
        <w:rPr>
          <w:rFonts w:ascii="Arial" w:hAnsi="Arial" w:cs="Arial"/>
          <w:color w:val="000000"/>
          <w:sz w:val="20"/>
          <w:szCs w:val="20"/>
        </w:rPr>
        <w:t>(Anil Kumar Sharma)</w:t>
      </w:r>
    </w:p>
    <w:p w:rsidR="00436D36" w:rsidRDefault="00436D36" w:rsidP="00436D36">
      <w:pPr>
        <w:pStyle w:val="NormalWeb"/>
        <w:rPr>
          <w:rFonts w:ascii="Arial" w:hAnsi="Arial" w:cs="Arial"/>
          <w:color w:val="000000"/>
          <w:sz w:val="20"/>
          <w:szCs w:val="20"/>
        </w:rPr>
      </w:pPr>
    </w:p>
    <w:p w:rsidR="00436D36" w:rsidRDefault="00436D36" w:rsidP="00A410BB">
      <w:pPr>
        <w:pStyle w:val="NormalWeb"/>
        <w:rPr>
          <w:rFonts w:ascii="Arial" w:hAnsi="Arial" w:cs="Arial"/>
          <w:color w:val="000000"/>
          <w:sz w:val="20"/>
          <w:szCs w:val="20"/>
        </w:rPr>
      </w:pPr>
    </w:p>
    <w:p w:rsidR="00436D36" w:rsidRDefault="00436D36" w:rsidP="00A410BB">
      <w:pPr>
        <w:pStyle w:val="NormalWeb"/>
        <w:rPr>
          <w:rFonts w:ascii="Arial" w:hAnsi="Arial" w:cs="Arial"/>
          <w:color w:val="000000"/>
          <w:sz w:val="20"/>
          <w:szCs w:val="20"/>
        </w:rPr>
      </w:pPr>
    </w:p>
    <w:p w:rsidR="00DE6119" w:rsidRDefault="00DE6119" w:rsidP="00DE6119">
      <w:r>
        <w:t>More details can be referred to in the below link.</w:t>
      </w:r>
    </w:p>
    <w:p w:rsidR="00A410BB" w:rsidRDefault="00DE6119" w:rsidP="00DE6119">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19" w:history="1">
        <w:r w:rsidRPr="006865D6">
          <w:rPr>
            <w:rStyle w:val="Hyperlink"/>
            <w:rFonts w:ascii="Arial" w:hAnsi="Arial" w:cs="Arial"/>
            <w:bCs/>
            <w:sz w:val="20"/>
            <w:szCs w:val="20"/>
          </w:rPr>
          <w:t>https://www.rbi.org.in/Scripts/NotificationUser.aspx?Id=12371&amp;Mode=0</w:t>
        </w:r>
      </w:hyperlink>
    </w:p>
    <w:p w:rsidR="00DE6119" w:rsidRDefault="00DE6119" w:rsidP="00DE6119">
      <w:pPr>
        <w:spacing w:line="259" w:lineRule="auto"/>
        <w:rPr>
          <w:rFonts w:ascii="Arial" w:hAnsi="Arial" w:cs="Arial"/>
          <w:bCs/>
          <w:color w:val="000000"/>
          <w:sz w:val="20"/>
          <w:szCs w:val="20"/>
        </w:rPr>
      </w:pPr>
    </w:p>
    <w:p w:rsidR="00DE6119" w:rsidRDefault="00DE6119" w:rsidP="00DE6119">
      <w:pPr>
        <w:spacing w:line="259" w:lineRule="auto"/>
        <w:rPr>
          <w:rFonts w:ascii="Arial" w:hAnsi="Arial" w:cs="Arial"/>
          <w:bCs/>
          <w:color w:val="000000"/>
          <w:sz w:val="20"/>
          <w:szCs w:val="20"/>
        </w:rPr>
      </w:pPr>
    </w:p>
    <w:p w:rsidR="00DE6119" w:rsidRDefault="00DE6119" w:rsidP="00DE6119">
      <w:pPr>
        <w:spacing w:line="259" w:lineRule="auto"/>
        <w:rPr>
          <w:rFonts w:ascii="Arial" w:hAnsi="Arial" w:cs="Arial"/>
          <w:bCs/>
          <w:color w:val="000000"/>
          <w:sz w:val="20"/>
          <w:szCs w:val="20"/>
        </w:rPr>
      </w:pPr>
    </w:p>
    <w:p w:rsidR="00DE6119" w:rsidRDefault="00DE6119" w:rsidP="00DE6119">
      <w:pPr>
        <w:spacing w:line="259" w:lineRule="auto"/>
        <w:rPr>
          <w:rFonts w:ascii="Arial" w:hAnsi="Arial" w:cs="Arial"/>
          <w:bCs/>
          <w:color w:val="000000"/>
          <w:sz w:val="20"/>
          <w:szCs w:val="20"/>
        </w:rPr>
      </w:pPr>
    </w:p>
    <w:p w:rsidR="00DE6119" w:rsidRDefault="00DE6119" w:rsidP="00DE6119">
      <w:pPr>
        <w:spacing w:line="259" w:lineRule="auto"/>
        <w:rPr>
          <w:rFonts w:ascii="Arial" w:hAnsi="Arial" w:cs="Arial"/>
          <w:bCs/>
          <w:color w:val="000000"/>
          <w:sz w:val="20"/>
          <w:szCs w:val="20"/>
        </w:rPr>
      </w:pPr>
    </w:p>
    <w:p w:rsidR="00DE6119" w:rsidRDefault="00DE6119" w:rsidP="00DE6119">
      <w:pPr>
        <w:spacing w:line="259" w:lineRule="auto"/>
        <w:rPr>
          <w:rFonts w:ascii="Arial" w:hAnsi="Arial" w:cs="Arial"/>
          <w:bCs/>
          <w:color w:val="000000"/>
          <w:sz w:val="20"/>
          <w:szCs w:val="20"/>
        </w:rPr>
      </w:pPr>
    </w:p>
    <w:p w:rsidR="00DE6119" w:rsidRDefault="00DE6119" w:rsidP="00DE6119">
      <w:pPr>
        <w:spacing w:line="259" w:lineRule="auto"/>
        <w:rPr>
          <w:rFonts w:ascii="Arial" w:hAnsi="Arial" w:cs="Arial"/>
          <w:bCs/>
          <w:color w:val="000000"/>
          <w:sz w:val="20"/>
          <w:szCs w:val="20"/>
        </w:rPr>
      </w:pPr>
    </w:p>
    <w:p w:rsidR="0036265F" w:rsidRDefault="0036265F" w:rsidP="00CF0868">
      <w:pPr>
        <w:pStyle w:val="NormalWeb"/>
        <w:rPr>
          <w:rFonts w:ascii="Arial" w:eastAsiaTheme="minorHAnsi" w:hAnsi="Arial" w:cs="Arial"/>
          <w:b/>
          <w:bCs/>
          <w:color w:val="000000"/>
          <w:sz w:val="20"/>
          <w:szCs w:val="20"/>
          <w:lang w:eastAsia="en-US"/>
        </w:rPr>
      </w:pPr>
    </w:p>
    <w:p w:rsidR="00DE6119" w:rsidRDefault="00DE6119" w:rsidP="00CF0868">
      <w:pPr>
        <w:pStyle w:val="NormalWeb"/>
        <w:rPr>
          <w:rFonts w:ascii="Arial" w:hAnsi="Arial" w:cs="Arial"/>
          <w:b/>
          <w:bCs/>
          <w:color w:val="000000"/>
          <w:sz w:val="20"/>
          <w:szCs w:val="20"/>
        </w:rPr>
      </w:pPr>
      <w:r>
        <w:rPr>
          <w:rFonts w:ascii="Arial" w:hAnsi="Arial" w:cs="Arial"/>
          <w:b/>
          <w:bCs/>
          <w:color w:val="000000"/>
          <w:sz w:val="20"/>
          <w:szCs w:val="20"/>
        </w:rPr>
        <w:lastRenderedPageBreak/>
        <w:t>Guidelines on Digital Lending</w:t>
      </w:r>
    </w:p>
    <w:p w:rsidR="00DE6119" w:rsidRDefault="00DE6119" w:rsidP="00DE6119">
      <w:pPr>
        <w:pStyle w:val="NormalWeb"/>
        <w:jc w:val="both"/>
        <w:rPr>
          <w:rFonts w:ascii="Arial" w:hAnsi="Arial" w:cs="Arial"/>
          <w:color w:val="000000"/>
          <w:sz w:val="20"/>
          <w:szCs w:val="20"/>
        </w:rPr>
      </w:pPr>
      <w:r>
        <w:rPr>
          <w:rFonts w:ascii="Arial" w:hAnsi="Arial" w:cs="Arial"/>
          <w:color w:val="000000"/>
          <w:sz w:val="20"/>
          <w:szCs w:val="20"/>
        </w:rPr>
        <w:t>RBI/2022-23/111</w:t>
      </w:r>
      <w:r>
        <w:rPr>
          <w:rFonts w:ascii="Arial" w:hAnsi="Arial" w:cs="Arial"/>
          <w:color w:val="000000"/>
          <w:sz w:val="20"/>
          <w:szCs w:val="20"/>
        </w:rPr>
        <w:br/>
        <w:t>DOR.CRE.REC.66/21.07.001/2022-23</w:t>
      </w:r>
    </w:p>
    <w:p w:rsidR="00DE6119" w:rsidRDefault="00DE6119" w:rsidP="00DE6119">
      <w:pPr>
        <w:pStyle w:val="NormalWeb"/>
        <w:jc w:val="right"/>
        <w:rPr>
          <w:rFonts w:ascii="Arial" w:hAnsi="Arial" w:cs="Arial"/>
          <w:color w:val="000000"/>
          <w:sz w:val="20"/>
          <w:szCs w:val="20"/>
        </w:rPr>
      </w:pPr>
      <w:r>
        <w:rPr>
          <w:rFonts w:ascii="Arial" w:hAnsi="Arial" w:cs="Arial"/>
          <w:color w:val="000000"/>
          <w:sz w:val="20"/>
          <w:szCs w:val="20"/>
        </w:rPr>
        <w:t>September 02, 2022</w:t>
      </w:r>
    </w:p>
    <w:p w:rsidR="00DE6119" w:rsidRDefault="00DE6119" w:rsidP="00DE6119">
      <w:pPr>
        <w:pStyle w:val="NormalWeb"/>
        <w:rPr>
          <w:rFonts w:ascii="Arial" w:hAnsi="Arial" w:cs="Arial"/>
          <w:color w:val="000000"/>
          <w:sz w:val="20"/>
          <w:szCs w:val="20"/>
        </w:rPr>
      </w:pPr>
      <w:r>
        <w:rPr>
          <w:rFonts w:ascii="Arial" w:hAnsi="Arial" w:cs="Arial"/>
          <w:color w:val="000000"/>
          <w:sz w:val="20"/>
          <w:szCs w:val="20"/>
        </w:rPr>
        <w:t>All Commercial Banks,</w:t>
      </w:r>
      <w:r>
        <w:rPr>
          <w:rFonts w:ascii="Arial" w:hAnsi="Arial" w:cs="Arial"/>
          <w:color w:val="000000"/>
          <w:sz w:val="20"/>
          <w:szCs w:val="20"/>
        </w:rPr>
        <w:br/>
        <w:t>Primary (Urban) Co-operative Banks, State Co-operative Banks,</w:t>
      </w:r>
      <w:r>
        <w:rPr>
          <w:rFonts w:ascii="Arial" w:hAnsi="Arial" w:cs="Arial"/>
          <w:color w:val="000000"/>
          <w:sz w:val="20"/>
          <w:szCs w:val="20"/>
        </w:rPr>
        <w:br/>
        <w:t>District Central Co-operative Banks; and</w:t>
      </w:r>
      <w:r>
        <w:rPr>
          <w:rFonts w:ascii="Arial" w:hAnsi="Arial" w:cs="Arial"/>
          <w:color w:val="000000"/>
          <w:sz w:val="20"/>
          <w:szCs w:val="20"/>
        </w:rPr>
        <w:br/>
        <w:t>Non-Banking Financial Companies (including Housing Finance Companies)</w:t>
      </w:r>
    </w:p>
    <w:p w:rsidR="00DE6119" w:rsidRDefault="00DE6119" w:rsidP="00DE6119">
      <w:pPr>
        <w:pStyle w:val="NormalWeb"/>
        <w:rPr>
          <w:rFonts w:ascii="Arial" w:hAnsi="Arial" w:cs="Arial"/>
          <w:color w:val="000000"/>
          <w:sz w:val="20"/>
          <w:szCs w:val="20"/>
        </w:rPr>
      </w:pPr>
      <w:r>
        <w:rPr>
          <w:rFonts w:ascii="Arial" w:hAnsi="Arial" w:cs="Arial"/>
          <w:color w:val="000000"/>
          <w:sz w:val="20"/>
          <w:szCs w:val="20"/>
        </w:rPr>
        <w:t>Madam/ Sir,</w:t>
      </w:r>
    </w:p>
    <w:p w:rsidR="00DE6119" w:rsidRDefault="00DE6119" w:rsidP="00DE6119">
      <w:pPr>
        <w:pStyle w:val="head"/>
        <w:jc w:val="center"/>
        <w:rPr>
          <w:rFonts w:ascii="Arial" w:hAnsi="Arial" w:cs="Arial"/>
          <w:b/>
          <w:bCs/>
          <w:color w:val="000000"/>
          <w:sz w:val="20"/>
          <w:szCs w:val="20"/>
        </w:rPr>
      </w:pPr>
      <w:r>
        <w:rPr>
          <w:rFonts w:ascii="Arial" w:hAnsi="Arial" w:cs="Arial"/>
          <w:b/>
          <w:bCs/>
          <w:color w:val="000000"/>
          <w:sz w:val="20"/>
          <w:szCs w:val="20"/>
        </w:rPr>
        <w:t>Guidelines on Digital Lending</w:t>
      </w:r>
    </w:p>
    <w:p w:rsidR="00DE6119" w:rsidRDefault="00DE6119" w:rsidP="00DE6119">
      <w:pPr>
        <w:pStyle w:val="NormalWeb"/>
        <w:jc w:val="both"/>
        <w:rPr>
          <w:rFonts w:ascii="Arial" w:hAnsi="Arial" w:cs="Arial"/>
          <w:color w:val="000000"/>
          <w:sz w:val="20"/>
          <w:szCs w:val="20"/>
        </w:rPr>
      </w:pPr>
      <w:r>
        <w:rPr>
          <w:rFonts w:ascii="Arial" w:hAnsi="Arial" w:cs="Arial"/>
          <w:color w:val="000000"/>
          <w:sz w:val="20"/>
          <w:szCs w:val="20"/>
        </w:rPr>
        <w:t>A reference is invited to para 7 of the </w:t>
      </w:r>
      <w:hyperlink r:id="rId20" w:tgtFrame="_blank" w:history="1">
        <w:r>
          <w:rPr>
            <w:rStyle w:val="Hyperlink"/>
            <w:rFonts w:ascii="Arial" w:hAnsi="Arial" w:cs="Arial"/>
            <w:sz w:val="20"/>
            <w:szCs w:val="20"/>
          </w:rPr>
          <w:t>RBI Press Release “Recommendations of the Working Group on Digital Lending – Implementation” dated August 10, 2022</w:t>
        </w:r>
      </w:hyperlink>
      <w:r>
        <w:rPr>
          <w:rFonts w:ascii="Arial" w:hAnsi="Arial" w:cs="Arial"/>
          <w:color w:val="000000"/>
          <w:sz w:val="20"/>
          <w:szCs w:val="20"/>
        </w:rPr>
        <w:t>. Detailed guidelines on recommendations of the Working Group accepted for immediate implementation are attached as </w:t>
      </w:r>
      <w:hyperlink r:id="rId21" w:anchor="AN1" w:history="1">
        <w:r>
          <w:rPr>
            <w:rStyle w:val="Hyperlink"/>
            <w:rFonts w:ascii="Arial" w:hAnsi="Arial" w:cs="Arial"/>
            <w:sz w:val="20"/>
            <w:szCs w:val="20"/>
          </w:rPr>
          <w:t>Annex I</w:t>
        </w:r>
      </w:hyperlink>
      <w:r>
        <w:rPr>
          <w:rFonts w:ascii="Arial" w:hAnsi="Arial" w:cs="Arial"/>
          <w:color w:val="000000"/>
          <w:sz w:val="20"/>
          <w:szCs w:val="20"/>
        </w:rPr>
        <w:t> to this circular.</w:t>
      </w:r>
    </w:p>
    <w:p w:rsidR="00DE6119" w:rsidRDefault="00DE6119" w:rsidP="00DE6119">
      <w:pPr>
        <w:pStyle w:val="NormalWeb"/>
        <w:jc w:val="both"/>
        <w:rPr>
          <w:rFonts w:ascii="Arial" w:hAnsi="Arial" w:cs="Arial"/>
          <w:color w:val="000000"/>
          <w:sz w:val="20"/>
          <w:szCs w:val="20"/>
        </w:rPr>
      </w:pPr>
      <w:r>
        <w:rPr>
          <w:rFonts w:ascii="Arial" w:hAnsi="Arial" w:cs="Arial"/>
          <w:color w:val="000000"/>
          <w:sz w:val="20"/>
          <w:szCs w:val="20"/>
        </w:rPr>
        <w:t>2. It is reiterated that outsourcing arrangements entered by Regulated Entities (REs) with a Lending Service Provider (LSP)/ Digital Lending App (DLA) does not diminish the REs’ obligations and they shall continue to conform to the extant guidelines on outsourcing</w:t>
      </w:r>
      <w:hyperlink r:id="rId22" w:anchor="F1" w:history="1">
        <w:r>
          <w:rPr>
            <w:rStyle w:val="Hyperlink"/>
            <w:rFonts w:ascii="Arial" w:hAnsi="Arial" w:cs="Arial"/>
            <w:sz w:val="15"/>
            <w:szCs w:val="15"/>
            <w:vertAlign w:val="superscript"/>
          </w:rPr>
          <w:t>1</w:t>
        </w:r>
      </w:hyperlink>
      <w:r>
        <w:rPr>
          <w:rFonts w:ascii="Arial" w:hAnsi="Arial" w:cs="Arial"/>
          <w:color w:val="000000"/>
          <w:sz w:val="20"/>
          <w:szCs w:val="20"/>
        </w:rPr>
        <w:t>. The REs are advised to ensure that the LSPs engaged by them and the DLAs (either of the RE or of the LSP engaged by the RE) comply with the guidelines contained in this circular.</w:t>
      </w:r>
    </w:p>
    <w:p w:rsidR="00DE6119" w:rsidRDefault="00DE6119" w:rsidP="00DE6119">
      <w:pPr>
        <w:pStyle w:val="NormalWeb"/>
        <w:jc w:val="both"/>
        <w:rPr>
          <w:rFonts w:ascii="Arial" w:hAnsi="Arial" w:cs="Arial"/>
          <w:color w:val="000000"/>
          <w:sz w:val="20"/>
          <w:szCs w:val="20"/>
        </w:rPr>
      </w:pPr>
      <w:r>
        <w:rPr>
          <w:rFonts w:ascii="Arial" w:hAnsi="Arial" w:cs="Arial"/>
          <w:color w:val="000000"/>
          <w:sz w:val="20"/>
          <w:szCs w:val="20"/>
        </w:rPr>
        <w:t xml:space="preserve">3. It is further advised that the instructions contained in this circular shall be applicable to the ‘existing customers availing fresh loans’ and to ‘new customers getting </w:t>
      </w:r>
      <w:proofErr w:type="spellStart"/>
      <w:r>
        <w:rPr>
          <w:rFonts w:ascii="Arial" w:hAnsi="Arial" w:cs="Arial"/>
          <w:color w:val="000000"/>
          <w:sz w:val="20"/>
          <w:szCs w:val="20"/>
        </w:rPr>
        <w:t>onboarded</w:t>
      </w:r>
      <w:proofErr w:type="spellEnd"/>
      <w:r>
        <w:rPr>
          <w:rFonts w:ascii="Arial" w:hAnsi="Arial" w:cs="Arial"/>
          <w:color w:val="000000"/>
          <w:sz w:val="20"/>
          <w:szCs w:val="20"/>
        </w:rPr>
        <w:t>’, from the date of this circular. However, in order to ensure a smooth transition, REs shall be given time till November 30, 2022, to put in place adequate systems and processes to ensure that ‘existing digital loans’ (sanctioned as on the date of the circular) are also in compliance with these guidelines in both letter and spirit.</w:t>
      </w:r>
    </w:p>
    <w:p w:rsidR="00DE6119" w:rsidRDefault="00DE6119" w:rsidP="00DE6119">
      <w:pPr>
        <w:pStyle w:val="NormalWeb"/>
        <w:jc w:val="both"/>
        <w:rPr>
          <w:rFonts w:ascii="Arial" w:hAnsi="Arial" w:cs="Arial"/>
          <w:color w:val="000000"/>
          <w:sz w:val="20"/>
          <w:szCs w:val="20"/>
        </w:rPr>
      </w:pPr>
      <w:r>
        <w:rPr>
          <w:rFonts w:ascii="Arial" w:hAnsi="Arial" w:cs="Arial"/>
          <w:color w:val="000000"/>
          <w:sz w:val="20"/>
          <w:szCs w:val="20"/>
        </w:rPr>
        <w:t>4. These directions are issued under sections 21, 35A and 56 of the Banking Regulation Act, 1949, sections 45JA, 45L and 45M of the Reserve Bank of India Act, 1934, sections 30A and 32 of the National Housing Bank Act, 1987, section 6 of the Factoring Regulation Act, 2011 and section 11 of the Credit Information Companies (Regulation) Act, 2005.</w:t>
      </w:r>
    </w:p>
    <w:p w:rsidR="00DE6119" w:rsidRDefault="00DE6119" w:rsidP="00DE6119">
      <w:pPr>
        <w:pStyle w:val="NormalWeb"/>
        <w:spacing w:after="0" w:afterAutospacing="0"/>
        <w:rPr>
          <w:rFonts w:ascii="Arial" w:hAnsi="Arial" w:cs="Arial"/>
          <w:color w:val="000000"/>
          <w:sz w:val="20"/>
          <w:szCs w:val="20"/>
        </w:rPr>
      </w:pPr>
      <w:r>
        <w:rPr>
          <w:rFonts w:ascii="Arial" w:hAnsi="Arial" w:cs="Arial"/>
          <w:color w:val="000000"/>
          <w:sz w:val="20"/>
          <w:szCs w:val="20"/>
        </w:rPr>
        <w:t>Yours faithfully,</w:t>
      </w:r>
    </w:p>
    <w:p w:rsidR="00DE6119" w:rsidRDefault="00DE6119" w:rsidP="00DE6119">
      <w:pPr>
        <w:pStyle w:val="NormalWeb"/>
        <w:spacing w:before="0" w:beforeAutospacing="0"/>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Manoranjan</w:t>
      </w:r>
      <w:proofErr w:type="spellEnd"/>
      <w:r>
        <w:rPr>
          <w:rFonts w:ascii="Arial" w:hAnsi="Arial" w:cs="Arial"/>
          <w:color w:val="000000"/>
          <w:sz w:val="20"/>
          <w:szCs w:val="20"/>
        </w:rPr>
        <w:t xml:space="preserve"> Mishra)</w:t>
      </w:r>
      <w:r>
        <w:rPr>
          <w:rFonts w:ascii="Arial" w:hAnsi="Arial" w:cs="Arial"/>
          <w:color w:val="000000"/>
          <w:sz w:val="20"/>
          <w:szCs w:val="20"/>
        </w:rPr>
        <w:br/>
        <w:t>Chief General Manager</w:t>
      </w:r>
    </w:p>
    <w:p w:rsidR="00DE6119" w:rsidRDefault="00DE6119" w:rsidP="00DE6119">
      <w:pPr>
        <w:spacing w:before="240" w:after="240"/>
        <w:rPr>
          <w:rFonts w:ascii="Times New Roman" w:hAnsi="Times New Roman" w:cs="Times New Roman"/>
          <w:sz w:val="24"/>
          <w:szCs w:val="24"/>
        </w:rPr>
      </w:pPr>
    </w:p>
    <w:p w:rsidR="00DE6119" w:rsidRDefault="00DE6119" w:rsidP="00DE6119">
      <w:pPr>
        <w:spacing w:before="240" w:after="240"/>
        <w:rPr>
          <w:rFonts w:ascii="Times New Roman" w:hAnsi="Times New Roman" w:cs="Times New Roman"/>
          <w:sz w:val="24"/>
          <w:szCs w:val="24"/>
        </w:rPr>
      </w:pPr>
    </w:p>
    <w:p w:rsidR="00DE6119" w:rsidRDefault="00DE6119" w:rsidP="00DE6119">
      <w:r>
        <w:t>More details can be referred to in the below link.</w:t>
      </w:r>
    </w:p>
    <w:p w:rsidR="00DE6119" w:rsidRDefault="00DE6119" w:rsidP="00DE6119">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23" w:history="1">
        <w:r w:rsidRPr="006865D6">
          <w:rPr>
            <w:rStyle w:val="Hyperlink"/>
            <w:rFonts w:ascii="Arial" w:hAnsi="Arial" w:cs="Arial"/>
            <w:bCs/>
            <w:sz w:val="20"/>
            <w:szCs w:val="20"/>
          </w:rPr>
          <w:t>https://rbi.org.in/Scripts/BS_CircularIndexDisplay.aspx?Id=12382</w:t>
        </w:r>
      </w:hyperlink>
    </w:p>
    <w:p w:rsidR="00DE6119" w:rsidRDefault="00DE6119" w:rsidP="00DE6119">
      <w:pPr>
        <w:pStyle w:val="NormalWeb"/>
        <w:rPr>
          <w:rFonts w:ascii="Arial" w:hAnsi="Arial" w:cs="Arial"/>
          <w:bCs/>
          <w:color w:val="000000"/>
          <w:sz w:val="20"/>
          <w:szCs w:val="20"/>
        </w:rPr>
      </w:pPr>
    </w:p>
    <w:p w:rsidR="00DE6119" w:rsidRDefault="00DE6119" w:rsidP="00DE6119">
      <w:pPr>
        <w:pStyle w:val="NormalWeb"/>
        <w:rPr>
          <w:rFonts w:ascii="Arial" w:hAnsi="Arial" w:cs="Arial"/>
          <w:color w:val="000000"/>
          <w:sz w:val="20"/>
          <w:szCs w:val="20"/>
        </w:rPr>
      </w:pPr>
    </w:p>
    <w:p w:rsidR="00DE6119" w:rsidRDefault="00DE6119" w:rsidP="00DE6119">
      <w:pPr>
        <w:pStyle w:val="NormalWeb"/>
        <w:rPr>
          <w:rFonts w:ascii="Arial" w:hAnsi="Arial" w:cs="Arial"/>
          <w:color w:val="000000"/>
          <w:sz w:val="20"/>
          <w:szCs w:val="20"/>
        </w:rPr>
      </w:pPr>
    </w:p>
    <w:p w:rsidR="002313C4" w:rsidRDefault="002313C4" w:rsidP="00DE6119">
      <w:pPr>
        <w:pStyle w:val="NormalWeb"/>
        <w:rPr>
          <w:rFonts w:ascii="Arial" w:hAnsi="Arial" w:cs="Arial"/>
          <w:b/>
          <w:bCs/>
          <w:color w:val="000000"/>
          <w:sz w:val="20"/>
          <w:szCs w:val="20"/>
        </w:rPr>
      </w:pPr>
    </w:p>
    <w:p w:rsidR="00DE6119" w:rsidRDefault="00DE6119" w:rsidP="00DE6119">
      <w:pPr>
        <w:pStyle w:val="NormalWeb"/>
        <w:rPr>
          <w:rFonts w:ascii="Arial" w:hAnsi="Arial" w:cs="Arial"/>
          <w:b/>
          <w:bCs/>
          <w:color w:val="000000"/>
          <w:sz w:val="20"/>
          <w:szCs w:val="20"/>
        </w:rPr>
      </w:pPr>
      <w:r>
        <w:rPr>
          <w:rFonts w:ascii="Arial" w:hAnsi="Arial" w:cs="Arial"/>
          <w:b/>
          <w:bCs/>
          <w:color w:val="000000"/>
          <w:sz w:val="20"/>
          <w:szCs w:val="20"/>
        </w:rPr>
        <w:lastRenderedPageBreak/>
        <w:t>Incentive for improving service to non-chest branches</w:t>
      </w:r>
    </w:p>
    <w:p w:rsidR="00DE6119" w:rsidRDefault="00DE6119" w:rsidP="00DE6119">
      <w:pPr>
        <w:pStyle w:val="NormalWeb"/>
        <w:jc w:val="both"/>
        <w:rPr>
          <w:rFonts w:ascii="Arial" w:hAnsi="Arial" w:cs="Arial"/>
          <w:color w:val="000000"/>
          <w:sz w:val="20"/>
          <w:szCs w:val="20"/>
        </w:rPr>
      </w:pPr>
      <w:r>
        <w:rPr>
          <w:rFonts w:ascii="Arial" w:hAnsi="Arial" w:cs="Arial"/>
          <w:color w:val="000000"/>
          <w:sz w:val="20"/>
          <w:szCs w:val="20"/>
        </w:rPr>
        <w:t>RBI/2022-23/112</w:t>
      </w:r>
      <w:r>
        <w:rPr>
          <w:rFonts w:ascii="Arial" w:hAnsi="Arial" w:cs="Arial"/>
          <w:color w:val="000000"/>
          <w:sz w:val="20"/>
          <w:szCs w:val="20"/>
        </w:rPr>
        <w:br/>
        <w:t>DCM (NPD) No.S770/09.40.002/2022-23</w:t>
      </w:r>
    </w:p>
    <w:p w:rsidR="00DE6119" w:rsidRDefault="00DE6119" w:rsidP="00DE6119">
      <w:pPr>
        <w:pStyle w:val="NormalWeb"/>
        <w:jc w:val="right"/>
        <w:rPr>
          <w:rFonts w:ascii="Arial" w:hAnsi="Arial" w:cs="Arial"/>
          <w:color w:val="000000"/>
          <w:sz w:val="20"/>
          <w:szCs w:val="20"/>
        </w:rPr>
      </w:pPr>
      <w:r>
        <w:rPr>
          <w:rFonts w:ascii="Arial" w:hAnsi="Arial" w:cs="Arial"/>
          <w:color w:val="000000"/>
          <w:sz w:val="20"/>
          <w:szCs w:val="20"/>
        </w:rPr>
        <w:t>September 06, 2022</w:t>
      </w:r>
    </w:p>
    <w:p w:rsidR="00DE6119" w:rsidRDefault="00DE6119" w:rsidP="00DE6119">
      <w:pPr>
        <w:pStyle w:val="NormalWeb"/>
        <w:rPr>
          <w:rFonts w:ascii="Arial" w:hAnsi="Arial" w:cs="Arial"/>
          <w:color w:val="000000"/>
          <w:sz w:val="20"/>
          <w:szCs w:val="20"/>
        </w:rPr>
      </w:pPr>
      <w:r>
        <w:rPr>
          <w:rFonts w:ascii="Arial" w:hAnsi="Arial" w:cs="Arial"/>
          <w:color w:val="000000"/>
          <w:sz w:val="20"/>
          <w:szCs w:val="20"/>
        </w:rPr>
        <w:t>The Chairman &amp; Managing Director</w:t>
      </w:r>
      <w:r>
        <w:rPr>
          <w:rFonts w:ascii="Arial" w:hAnsi="Arial" w:cs="Arial"/>
          <w:color w:val="000000"/>
          <w:sz w:val="20"/>
          <w:szCs w:val="20"/>
        </w:rPr>
        <w:br/>
        <w:t>Managing Director/ Chief Executive Officer</w:t>
      </w:r>
      <w:r>
        <w:rPr>
          <w:rFonts w:ascii="Arial" w:hAnsi="Arial" w:cs="Arial"/>
          <w:color w:val="000000"/>
          <w:sz w:val="20"/>
          <w:szCs w:val="20"/>
        </w:rPr>
        <w:br/>
        <w:t>All Banks having Currency Chests</w:t>
      </w:r>
    </w:p>
    <w:p w:rsidR="00DE6119" w:rsidRDefault="00DE6119" w:rsidP="00DE6119">
      <w:pPr>
        <w:pStyle w:val="NormalWeb"/>
        <w:jc w:val="both"/>
        <w:rPr>
          <w:rFonts w:ascii="Arial" w:hAnsi="Arial" w:cs="Arial"/>
          <w:color w:val="000000"/>
          <w:sz w:val="20"/>
          <w:szCs w:val="20"/>
        </w:rPr>
      </w:pPr>
      <w:r>
        <w:rPr>
          <w:rFonts w:ascii="Arial" w:hAnsi="Arial" w:cs="Arial"/>
          <w:color w:val="000000"/>
          <w:sz w:val="20"/>
          <w:szCs w:val="20"/>
        </w:rPr>
        <w:t>Madam/ Sir,</w:t>
      </w:r>
    </w:p>
    <w:p w:rsidR="00DE6119" w:rsidRDefault="00DE6119" w:rsidP="00DE6119">
      <w:pPr>
        <w:pStyle w:val="head"/>
        <w:jc w:val="both"/>
        <w:rPr>
          <w:rFonts w:ascii="Arial" w:hAnsi="Arial" w:cs="Arial"/>
          <w:b/>
          <w:bCs/>
          <w:color w:val="000000"/>
          <w:sz w:val="20"/>
          <w:szCs w:val="20"/>
        </w:rPr>
      </w:pPr>
      <w:r>
        <w:rPr>
          <w:rFonts w:ascii="Arial" w:hAnsi="Arial" w:cs="Arial"/>
          <w:b/>
          <w:bCs/>
          <w:color w:val="000000"/>
          <w:sz w:val="20"/>
          <w:szCs w:val="20"/>
          <w:u w:val="single"/>
        </w:rPr>
        <w:t>Incentive for improving service to non-chest branches</w:t>
      </w:r>
    </w:p>
    <w:p w:rsidR="00DE6119" w:rsidRDefault="00DE6119" w:rsidP="00DE6119">
      <w:pPr>
        <w:pStyle w:val="NormalWeb"/>
        <w:jc w:val="both"/>
        <w:rPr>
          <w:rFonts w:ascii="Arial" w:hAnsi="Arial" w:cs="Arial"/>
          <w:color w:val="000000"/>
          <w:sz w:val="20"/>
          <w:szCs w:val="20"/>
        </w:rPr>
      </w:pPr>
      <w:r>
        <w:rPr>
          <w:rFonts w:ascii="Arial" w:hAnsi="Arial" w:cs="Arial"/>
          <w:color w:val="000000"/>
          <w:sz w:val="20"/>
          <w:szCs w:val="20"/>
        </w:rPr>
        <w:t>Please refer to </w:t>
      </w:r>
      <w:hyperlink r:id="rId24" w:tgtFrame="_blank" w:history="1">
        <w:r>
          <w:rPr>
            <w:rStyle w:val="Hyperlink"/>
            <w:rFonts w:ascii="Arial" w:hAnsi="Arial" w:cs="Arial"/>
            <w:sz w:val="20"/>
            <w:szCs w:val="20"/>
          </w:rPr>
          <w:t>circulars RBI/ 2015-16/ 293 DCM (NPD) No. 2564/ 09.40.02/ 2015-16 dated January 21, 2016</w:t>
        </w:r>
      </w:hyperlink>
      <w:r>
        <w:rPr>
          <w:rFonts w:ascii="Arial" w:hAnsi="Arial" w:cs="Arial"/>
          <w:color w:val="000000"/>
          <w:sz w:val="20"/>
          <w:szCs w:val="20"/>
        </w:rPr>
        <w:t> and </w:t>
      </w:r>
      <w:hyperlink r:id="rId25" w:tgtFrame="_blank" w:history="1">
        <w:r>
          <w:rPr>
            <w:rStyle w:val="Hyperlink"/>
            <w:rFonts w:ascii="Arial" w:hAnsi="Arial" w:cs="Arial"/>
            <w:sz w:val="20"/>
            <w:szCs w:val="20"/>
          </w:rPr>
          <w:t>DCM (</w:t>
        </w:r>
        <w:proofErr w:type="spellStart"/>
        <w:r>
          <w:rPr>
            <w:rStyle w:val="Hyperlink"/>
            <w:rFonts w:ascii="Arial" w:hAnsi="Arial" w:cs="Arial"/>
            <w:sz w:val="20"/>
            <w:szCs w:val="20"/>
          </w:rPr>
          <w:t>Plg</w:t>
        </w:r>
        <w:proofErr w:type="spellEnd"/>
        <w:r>
          <w:rPr>
            <w:rStyle w:val="Hyperlink"/>
            <w:rFonts w:ascii="Arial" w:hAnsi="Arial" w:cs="Arial"/>
            <w:sz w:val="20"/>
            <w:szCs w:val="20"/>
          </w:rPr>
          <w:t>.) No 2845/ 10.25.007/2018-19 dated May 23, 2019</w:t>
        </w:r>
      </w:hyperlink>
      <w:r>
        <w:rPr>
          <w:rFonts w:ascii="Arial" w:hAnsi="Arial" w:cs="Arial"/>
          <w:color w:val="000000"/>
          <w:sz w:val="20"/>
          <w:szCs w:val="20"/>
        </w:rPr>
        <w:t> on the captioned subject.</w:t>
      </w:r>
    </w:p>
    <w:p w:rsidR="00DE6119" w:rsidRDefault="00DE6119" w:rsidP="00DE6119">
      <w:pPr>
        <w:pStyle w:val="NormalWeb"/>
        <w:jc w:val="both"/>
        <w:rPr>
          <w:rFonts w:ascii="Arial" w:hAnsi="Arial" w:cs="Arial"/>
          <w:color w:val="000000"/>
          <w:sz w:val="20"/>
          <w:szCs w:val="20"/>
        </w:rPr>
      </w:pPr>
      <w:r>
        <w:rPr>
          <w:rFonts w:ascii="Arial" w:hAnsi="Arial" w:cs="Arial"/>
          <w:color w:val="000000"/>
          <w:sz w:val="20"/>
          <w:szCs w:val="20"/>
        </w:rPr>
        <w:t>2. We have been receiving queries regarding the applicability of GST on the service charges levied on cash deposited by non-chest bank branches to the Currency Chests. It is clarified that the amount indicated in the aforesaid circulars are exclusive of applicable taxes. Accordingly, the service charges mentioned in the aforesaid circulars is to be read as ₹5 </w:t>
      </w:r>
      <w:r>
        <w:rPr>
          <w:rFonts w:ascii="Arial" w:hAnsi="Arial" w:cs="Arial"/>
          <w:color w:val="000000"/>
          <w:sz w:val="20"/>
          <w:szCs w:val="20"/>
          <w:u w:val="single"/>
        </w:rPr>
        <w:t>plus applicable taxes</w:t>
      </w:r>
      <w:r>
        <w:rPr>
          <w:rFonts w:ascii="Arial" w:hAnsi="Arial" w:cs="Arial"/>
          <w:color w:val="000000"/>
          <w:sz w:val="20"/>
          <w:szCs w:val="20"/>
        </w:rPr>
        <w:t> per packet and ₹8 </w:t>
      </w:r>
      <w:r>
        <w:rPr>
          <w:rFonts w:ascii="Arial" w:hAnsi="Arial" w:cs="Arial"/>
          <w:color w:val="000000"/>
          <w:sz w:val="20"/>
          <w:szCs w:val="20"/>
          <w:u w:val="single"/>
        </w:rPr>
        <w:t>plus applicable taxes</w:t>
      </w:r>
      <w:r>
        <w:rPr>
          <w:rFonts w:ascii="Arial" w:hAnsi="Arial" w:cs="Arial"/>
          <w:color w:val="000000"/>
          <w:sz w:val="20"/>
          <w:szCs w:val="20"/>
        </w:rPr>
        <w:t> per packet, as the case may be.</w:t>
      </w:r>
    </w:p>
    <w:p w:rsidR="00DE6119" w:rsidRDefault="00DE6119" w:rsidP="00DE6119">
      <w:pPr>
        <w:pStyle w:val="NormalWeb"/>
        <w:jc w:val="both"/>
        <w:rPr>
          <w:rFonts w:ascii="Arial" w:hAnsi="Arial" w:cs="Arial"/>
          <w:color w:val="000000"/>
          <w:sz w:val="20"/>
          <w:szCs w:val="20"/>
        </w:rPr>
      </w:pPr>
      <w:r>
        <w:rPr>
          <w:rFonts w:ascii="Arial" w:hAnsi="Arial" w:cs="Arial"/>
          <w:color w:val="000000"/>
          <w:sz w:val="20"/>
          <w:szCs w:val="20"/>
        </w:rPr>
        <w:t>Yours faithfully,</w:t>
      </w:r>
    </w:p>
    <w:p w:rsidR="00DE6119" w:rsidRDefault="00DE6119" w:rsidP="00DE6119">
      <w:pPr>
        <w:pStyle w:val="NormalWeb"/>
        <w:rPr>
          <w:rFonts w:ascii="Arial" w:hAnsi="Arial" w:cs="Arial"/>
          <w:color w:val="000000"/>
          <w:sz w:val="20"/>
          <w:szCs w:val="20"/>
        </w:rPr>
      </w:pPr>
      <w:r>
        <w:rPr>
          <w:rFonts w:ascii="Arial" w:hAnsi="Arial" w:cs="Arial"/>
          <w:color w:val="000000"/>
          <w:sz w:val="20"/>
          <w:szCs w:val="20"/>
        </w:rPr>
        <w:t>(Sanjeev Prakash)</w:t>
      </w:r>
      <w:r>
        <w:rPr>
          <w:rFonts w:ascii="Arial" w:hAnsi="Arial" w:cs="Arial"/>
          <w:color w:val="000000"/>
          <w:sz w:val="20"/>
          <w:szCs w:val="20"/>
        </w:rPr>
        <w:br/>
        <w:t>Chief General Manager</w:t>
      </w:r>
    </w:p>
    <w:p w:rsidR="00DE6119" w:rsidRDefault="00DE6119" w:rsidP="00DE6119">
      <w:pPr>
        <w:pStyle w:val="NormalWeb"/>
        <w:rPr>
          <w:rFonts w:ascii="Arial" w:hAnsi="Arial" w:cs="Arial"/>
          <w:color w:val="000000"/>
          <w:sz w:val="20"/>
          <w:szCs w:val="20"/>
        </w:rPr>
      </w:pPr>
    </w:p>
    <w:p w:rsidR="00DE6119" w:rsidRDefault="00DE6119" w:rsidP="00DE6119">
      <w:pPr>
        <w:pStyle w:val="NormalWeb"/>
        <w:rPr>
          <w:rFonts w:ascii="Arial" w:hAnsi="Arial" w:cs="Arial"/>
          <w:color w:val="000000"/>
          <w:sz w:val="20"/>
          <w:szCs w:val="20"/>
        </w:rPr>
      </w:pPr>
    </w:p>
    <w:p w:rsidR="00DE6119" w:rsidRDefault="00DE6119" w:rsidP="00DE6119">
      <w:r>
        <w:t>More details can be referred to in the below link.</w:t>
      </w:r>
    </w:p>
    <w:p w:rsidR="00DE6119" w:rsidRDefault="00DE6119" w:rsidP="00DE6119">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26" w:history="1">
        <w:r w:rsidRPr="006865D6">
          <w:rPr>
            <w:rStyle w:val="Hyperlink"/>
            <w:rFonts w:ascii="Arial" w:hAnsi="Arial" w:cs="Arial"/>
            <w:bCs/>
            <w:sz w:val="20"/>
            <w:szCs w:val="20"/>
          </w:rPr>
          <w:t>https://www.rbi.org.in/scripts/NotificationUser.aspx?Id=12383&amp;Mode=0</w:t>
        </w:r>
      </w:hyperlink>
    </w:p>
    <w:p w:rsidR="00DE6119" w:rsidRDefault="00DE6119" w:rsidP="00DE6119">
      <w:pPr>
        <w:pStyle w:val="NormalWeb"/>
        <w:rPr>
          <w:rFonts w:ascii="Arial" w:hAnsi="Arial" w:cs="Arial"/>
          <w:bCs/>
          <w:color w:val="000000"/>
          <w:sz w:val="20"/>
          <w:szCs w:val="20"/>
        </w:rPr>
      </w:pPr>
    </w:p>
    <w:p w:rsidR="00083374" w:rsidRDefault="00083374" w:rsidP="00DE6119">
      <w:pPr>
        <w:pStyle w:val="NormalWeb"/>
        <w:rPr>
          <w:rFonts w:ascii="Arial" w:hAnsi="Arial" w:cs="Arial"/>
          <w:bCs/>
          <w:color w:val="000000"/>
          <w:sz w:val="20"/>
          <w:szCs w:val="20"/>
        </w:rPr>
      </w:pPr>
    </w:p>
    <w:p w:rsidR="00083374" w:rsidRDefault="00083374" w:rsidP="00DE6119">
      <w:pPr>
        <w:pStyle w:val="NormalWeb"/>
        <w:rPr>
          <w:rFonts w:ascii="Arial" w:hAnsi="Arial" w:cs="Arial"/>
          <w:bCs/>
          <w:color w:val="000000"/>
          <w:sz w:val="20"/>
          <w:szCs w:val="20"/>
        </w:rPr>
      </w:pPr>
    </w:p>
    <w:p w:rsidR="00083374" w:rsidRDefault="00083374" w:rsidP="00DE6119">
      <w:pPr>
        <w:pStyle w:val="NormalWeb"/>
        <w:rPr>
          <w:rFonts w:ascii="Arial" w:hAnsi="Arial" w:cs="Arial"/>
          <w:bCs/>
          <w:color w:val="000000"/>
          <w:sz w:val="20"/>
          <w:szCs w:val="20"/>
        </w:rPr>
      </w:pPr>
    </w:p>
    <w:p w:rsidR="00083374" w:rsidRDefault="00083374" w:rsidP="00DE6119">
      <w:pPr>
        <w:pStyle w:val="NormalWeb"/>
        <w:rPr>
          <w:rFonts w:ascii="Arial" w:hAnsi="Arial" w:cs="Arial"/>
          <w:bCs/>
          <w:color w:val="000000"/>
          <w:sz w:val="20"/>
          <w:szCs w:val="20"/>
        </w:rPr>
      </w:pPr>
    </w:p>
    <w:p w:rsidR="00083374" w:rsidRDefault="00083374" w:rsidP="00DE6119">
      <w:pPr>
        <w:pStyle w:val="NormalWeb"/>
        <w:rPr>
          <w:rFonts w:ascii="Arial" w:hAnsi="Arial" w:cs="Arial"/>
          <w:bCs/>
          <w:color w:val="000000"/>
          <w:sz w:val="20"/>
          <w:szCs w:val="20"/>
        </w:rPr>
      </w:pPr>
    </w:p>
    <w:p w:rsidR="00083374" w:rsidRDefault="00083374" w:rsidP="00DE6119">
      <w:pPr>
        <w:pStyle w:val="NormalWeb"/>
        <w:rPr>
          <w:rFonts w:ascii="Arial" w:hAnsi="Arial" w:cs="Arial"/>
          <w:bCs/>
          <w:color w:val="000000"/>
          <w:sz w:val="20"/>
          <w:szCs w:val="20"/>
        </w:rPr>
      </w:pPr>
    </w:p>
    <w:p w:rsidR="00DB76CD" w:rsidRDefault="00DB76CD" w:rsidP="00DE6119">
      <w:pPr>
        <w:pStyle w:val="NormalWeb"/>
        <w:rPr>
          <w:rFonts w:ascii="Arial" w:hAnsi="Arial" w:cs="Arial"/>
          <w:b/>
          <w:bCs/>
          <w:color w:val="000000"/>
          <w:sz w:val="20"/>
          <w:szCs w:val="20"/>
        </w:rPr>
      </w:pPr>
    </w:p>
    <w:p w:rsidR="002313C4" w:rsidRDefault="002313C4" w:rsidP="00DB76CD">
      <w:pPr>
        <w:rPr>
          <w:rFonts w:ascii="Arial" w:hAnsi="Arial" w:cs="Arial"/>
          <w:b/>
          <w:bCs/>
          <w:color w:val="000000"/>
          <w:sz w:val="20"/>
          <w:szCs w:val="20"/>
        </w:rPr>
      </w:pPr>
    </w:p>
    <w:p w:rsidR="00DB76CD" w:rsidRPr="00147837" w:rsidRDefault="00DB76CD" w:rsidP="00DB76CD">
      <w:pPr>
        <w:rPr>
          <w:rFonts w:ascii="Arial" w:hAnsi="Arial" w:cs="Arial"/>
          <w:b/>
          <w:bCs/>
          <w:color w:val="000000"/>
          <w:sz w:val="20"/>
          <w:szCs w:val="20"/>
        </w:rPr>
      </w:pPr>
      <w:r w:rsidRPr="00147837">
        <w:rPr>
          <w:rFonts w:ascii="Arial" w:hAnsi="Arial" w:cs="Arial"/>
          <w:b/>
          <w:bCs/>
          <w:color w:val="000000"/>
          <w:sz w:val="20"/>
          <w:szCs w:val="20"/>
        </w:rPr>
        <w:lastRenderedPageBreak/>
        <w:t>Rupee Drawing Arrangement - Enabling Bharat Bill Payment System (BBPS) to process cross-border inbound Bill Payments</w:t>
      </w:r>
    </w:p>
    <w:p w:rsidR="00DB76CD" w:rsidRPr="00147837" w:rsidRDefault="00DB76CD" w:rsidP="00DB76CD">
      <w:pPr>
        <w:pStyle w:val="NormalWeb"/>
        <w:rPr>
          <w:rFonts w:ascii="Arial" w:hAnsi="Arial" w:cs="Arial"/>
          <w:sz w:val="20"/>
          <w:szCs w:val="20"/>
        </w:rPr>
      </w:pPr>
      <w:r w:rsidRPr="00147837">
        <w:rPr>
          <w:rFonts w:ascii="Arial" w:hAnsi="Arial" w:cs="Arial"/>
          <w:sz w:val="20"/>
          <w:szCs w:val="20"/>
        </w:rPr>
        <w:t>RBI/2022-23/115</w:t>
      </w:r>
      <w:r w:rsidRPr="00147837">
        <w:rPr>
          <w:rFonts w:ascii="Arial" w:hAnsi="Arial" w:cs="Arial"/>
          <w:sz w:val="20"/>
          <w:szCs w:val="20"/>
        </w:rPr>
        <w:br/>
        <w:t>A.P. (DIR Series) Circular No. 14</w:t>
      </w:r>
    </w:p>
    <w:p w:rsidR="00DB76CD" w:rsidRPr="00147837" w:rsidRDefault="00DB76CD" w:rsidP="00DB76CD">
      <w:pPr>
        <w:pStyle w:val="NormalWeb"/>
        <w:jc w:val="right"/>
        <w:rPr>
          <w:rFonts w:ascii="Arial" w:hAnsi="Arial" w:cs="Arial"/>
          <w:sz w:val="20"/>
          <w:szCs w:val="20"/>
        </w:rPr>
      </w:pPr>
      <w:r w:rsidRPr="00147837">
        <w:rPr>
          <w:rFonts w:ascii="Arial" w:hAnsi="Arial" w:cs="Arial"/>
          <w:sz w:val="20"/>
          <w:szCs w:val="20"/>
        </w:rPr>
        <w:t>September 15, 2022</w:t>
      </w:r>
    </w:p>
    <w:p w:rsidR="00DB76CD" w:rsidRPr="00147837" w:rsidRDefault="00DB76CD" w:rsidP="00DB76CD">
      <w:pPr>
        <w:pStyle w:val="NormalWeb"/>
        <w:rPr>
          <w:rFonts w:ascii="Arial" w:hAnsi="Arial" w:cs="Arial"/>
          <w:sz w:val="20"/>
          <w:szCs w:val="20"/>
        </w:rPr>
      </w:pPr>
      <w:r w:rsidRPr="00147837">
        <w:rPr>
          <w:rFonts w:ascii="Arial" w:hAnsi="Arial" w:cs="Arial"/>
          <w:sz w:val="20"/>
          <w:szCs w:val="20"/>
        </w:rPr>
        <w:t>To</w:t>
      </w:r>
      <w:r w:rsidRPr="00147837">
        <w:rPr>
          <w:rFonts w:ascii="Arial" w:hAnsi="Arial" w:cs="Arial"/>
          <w:sz w:val="20"/>
          <w:szCs w:val="20"/>
        </w:rPr>
        <w:br/>
        <w:t>All Category-I Authorised Dealer Banks</w:t>
      </w:r>
    </w:p>
    <w:p w:rsidR="00DB76CD" w:rsidRPr="00147837" w:rsidRDefault="00DB76CD" w:rsidP="00DB76CD">
      <w:pPr>
        <w:pStyle w:val="NormalWeb"/>
        <w:rPr>
          <w:rFonts w:ascii="Arial" w:hAnsi="Arial" w:cs="Arial"/>
          <w:sz w:val="20"/>
          <w:szCs w:val="20"/>
        </w:rPr>
      </w:pPr>
      <w:r w:rsidRPr="00147837">
        <w:rPr>
          <w:rFonts w:ascii="Arial" w:hAnsi="Arial" w:cs="Arial"/>
          <w:sz w:val="20"/>
          <w:szCs w:val="20"/>
        </w:rPr>
        <w:t>Madam/Sir,</w:t>
      </w:r>
    </w:p>
    <w:p w:rsidR="00DB76CD" w:rsidRPr="00147837" w:rsidRDefault="00DB76CD" w:rsidP="00DB76CD">
      <w:pPr>
        <w:pStyle w:val="head"/>
        <w:jc w:val="center"/>
        <w:rPr>
          <w:rFonts w:ascii="Arial" w:hAnsi="Arial" w:cs="Arial"/>
          <w:b/>
          <w:bCs/>
          <w:sz w:val="20"/>
          <w:szCs w:val="20"/>
        </w:rPr>
      </w:pPr>
      <w:r w:rsidRPr="00147837">
        <w:rPr>
          <w:rFonts w:ascii="Arial" w:hAnsi="Arial" w:cs="Arial"/>
          <w:b/>
          <w:bCs/>
          <w:sz w:val="20"/>
          <w:szCs w:val="20"/>
        </w:rPr>
        <w:t>Rupee Drawing Arrangement - Enabling Bharat Bill Payment System (BBPS) to process</w:t>
      </w:r>
      <w:r w:rsidRPr="00147837">
        <w:rPr>
          <w:rFonts w:ascii="Arial" w:hAnsi="Arial" w:cs="Arial"/>
          <w:b/>
          <w:bCs/>
          <w:sz w:val="20"/>
          <w:szCs w:val="20"/>
        </w:rPr>
        <w:br/>
        <w:t>cross-border inbound Bill Payments</w:t>
      </w:r>
    </w:p>
    <w:p w:rsidR="00DB76CD" w:rsidRPr="00147837" w:rsidRDefault="00DB76CD" w:rsidP="00DB76CD">
      <w:pPr>
        <w:pStyle w:val="NormalWeb"/>
        <w:rPr>
          <w:rFonts w:ascii="Arial" w:hAnsi="Arial" w:cs="Arial"/>
          <w:sz w:val="20"/>
          <w:szCs w:val="20"/>
        </w:rPr>
      </w:pPr>
      <w:r w:rsidRPr="00147837">
        <w:rPr>
          <w:rFonts w:ascii="Arial" w:hAnsi="Arial" w:cs="Arial"/>
          <w:sz w:val="20"/>
          <w:szCs w:val="20"/>
        </w:rPr>
        <w:t>Please refer to </w:t>
      </w:r>
      <w:hyperlink r:id="rId27" w:tgtFrame="_blank" w:history="1">
        <w:r w:rsidRPr="00147837">
          <w:rPr>
            <w:rStyle w:val="Hyperlink"/>
            <w:rFonts w:ascii="Arial" w:hAnsi="Arial" w:cs="Arial"/>
            <w:sz w:val="20"/>
            <w:szCs w:val="20"/>
          </w:rPr>
          <w:t>A.P. (DIR Series) Circular No. 120 dated April 10, 2014</w:t>
        </w:r>
      </w:hyperlink>
      <w:r w:rsidRPr="00147837">
        <w:rPr>
          <w:rFonts w:ascii="Arial" w:hAnsi="Arial" w:cs="Arial"/>
          <w:sz w:val="20"/>
          <w:szCs w:val="20"/>
        </w:rPr>
        <w:t> on ‘Rupee Drawing Arrangement – Direct to Account Facility’, in terms of which, foreign inward remittances received under Rupee Drawing Arrangement (RDA) can be transferred to the KYC compliant beneficiary bank accounts through electronic mode, such as, NEFT, IMPS, etc. subject to the procedure and conditions mentioned therein.</w:t>
      </w:r>
    </w:p>
    <w:p w:rsidR="00DB76CD" w:rsidRPr="00147837" w:rsidRDefault="00DB76CD" w:rsidP="00DB76CD">
      <w:pPr>
        <w:pStyle w:val="NormalWeb"/>
        <w:rPr>
          <w:rFonts w:ascii="Arial" w:hAnsi="Arial" w:cs="Arial"/>
          <w:sz w:val="20"/>
          <w:szCs w:val="20"/>
        </w:rPr>
      </w:pPr>
      <w:r w:rsidRPr="00147837">
        <w:rPr>
          <w:rFonts w:ascii="Arial" w:hAnsi="Arial" w:cs="Arial"/>
          <w:sz w:val="20"/>
          <w:szCs w:val="20"/>
        </w:rPr>
        <w:t>2. As announced in Para 6 of the </w:t>
      </w:r>
      <w:hyperlink r:id="rId28" w:tgtFrame="_blank" w:history="1">
        <w:r w:rsidRPr="00147837">
          <w:rPr>
            <w:rStyle w:val="Hyperlink"/>
            <w:rFonts w:ascii="Arial" w:hAnsi="Arial" w:cs="Arial"/>
            <w:sz w:val="20"/>
            <w:szCs w:val="20"/>
          </w:rPr>
          <w:t>Statement on Developmental and Regulatory Policies issued on August 05, 2022</w:t>
        </w:r>
      </w:hyperlink>
      <w:r w:rsidRPr="00147837">
        <w:rPr>
          <w:rFonts w:ascii="Arial" w:hAnsi="Arial" w:cs="Arial"/>
          <w:sz w:val="20"/>
          <w:szCs w:val="20"/>
        </w:rPr>
        <w:t>, it has been decided to allow foreign inward remittances received under the Rupee Drawing Arrangement (RDA), to be transferred to the KYC compliant bank account of the biller (beneficiary) through Bharat Bill Payment System (BBPS), subject to the conditions mentioned in Para 3 of </w:t>
      </w:r>
      <w:hyperlink r:id="rId29" w:tgtFrame="_blank" w:history="1">
        <w:r w:rsidRPr="00147837">
          <w:rPr>
            <w:rStyle w:val="Hyperlink"/>
            <w:rFonts w:ascii="Arial" w:hAnsi="Arial" w:cs="Arial"/>
            <w:sz w:val="20"/>
            <w:szCs w:val="20"/>
          </w:rPr>
          <w:t>A.P. (DIR Series) Circular No.120 dated April 10, 2014</w:t>
        </w:r>
      </w:hyperlink>
      <w:r w:rsidRPr="00147837">
        <w:rPr>
          <w:rFonts w:ascii="Arial" w:hAnsi="Arial" w:cs="Arial"/>
          <w:sz w:val="20"/>
          <w:szCs w:val="20"/>
        </w:rPr>
        <w:t>.</w:t>
      </w:r>
    </w:p>
    <w:p w:rsidR="00DB76CD" w:rsidRPr="00147837" w:rsidRDefault="00DB76CD" w:rsidP="00DB76CD">
      <w:pPr>
        <w:pStyle w:val="NormalWeb"/>
        <w:rPr>
          <w:rFonts w:ascii="Arial" w:hAnsi="Arial" w:cs="Arial"/>
          <w:sz w:val="20"/>
          <w:szCs w:val="20"/>
        </w:rPr>
      </w:pPr>
      <w:r w:rsidRPr="00147837">
        <w:rPr>
          <w:rFonts w:ascii="Arial" w:hAnsi="Arial" w:cs="Arial"/>
          <w:sz w:val="20"/>
          <w:szCs w:val="20"/>
        </w:rPr>
        <w:t>3. AD Cat-I Banks may bring the contents of this circular to the notice of their constituents concerned.</w:t>
      </w:r>
    </w:p>
    <w:p w:rsidR="00DB76CD" w:rsidRPr="00147837" w:rsidRDefault="00DB76CD" w:rsidP="00DB76CD">
      <w:pPr>
        <w:pStyle w:val="NormalWeb"/>
        <w:rPr>
          <w:rFonts w:ascii="Arial" w:hAnsi="Arial" w:cs="Arial"/>
          <w:sz w:val="20"/>
          <w:szCs w:val="20"/>
        </w:rPr>
      </w:pPr>
      <w:r w:rsidRPr="00147837">
        <w:rPr>
          <w:rFonts w:ascii="Arial" w:hAnsi="Arial" w:cs="Arial"/>
          <w:sz w:val="20"/>
          <w:szCs w:val="20"/>
        </w:rPr>
        <w:t>4. The directions contained in this circular have been issued under Section 10(4) and Section 11(1) of the Foreign Exchange Management Act, 1999 (42 of 1999) and are without prejudice to permissions/approvals, if any, required under any other law.</w:t>
      </w:r>
    </w:p>
    <w:p w:rsidR="00DB76CD" w:rsidRPr="00147837" w:rsidRDefault="00DB76CD" w:rsidP="00DB76CD">
      <w:pPr>
        <w:pStyle w:val="NormalWeb"/>
        <w:spacing w:after="0" w:afterAutospacing="0"/>
        <w:rPr>
          <w:rFonts w:ascii="Arial" w:hAnsi="Arial" w:cs="Arial"/>
          <w:sz w:val="20"/>
          <w:szCs w:val="20"/>
        </w:rPr>
      </w:pPr>
      <w:r w:rsidRPr="00147837">
        <w:rPr>
          <w:rFonts w:ascii="Arial" w:hAnsi="Arial" w:cs="Arial"/>
          <w:sz w:val="20"/>
          <w:szCs w:val="20"/>
        </w:rPr>
        <w:t>Yours faithfully,</w:t>
      </w:r>
    </w:p>
    <w:p w:rsidR="00DB76CD" w:rsidRPr="009F305B" w:rsidRDefault="00DB76CD" w:rsidP="00DB76CD">
      <w:pPr>
        <w:pStyle w:val="NormalWeb"/>
        <w:spacing w:before="0" w:beforeAutospacing="0"/>
        <w:rPr>
          <w:rFonts w:ascii="Arial" w:hAnsi="Arial" w:cs="Arial"/>
          <w:sz w:val="20"/>
          <w:szCs w:val="20"/>
        </w:rPr>
      </w:pPr>
      <w:r w:rsidRPr="00147837">
        <w:rPr>
          <w:rFonts w:ascii="Arial" w:hAnsi="Arial" w:cs="Arial"/>
          <w:sz w:val="20"/>
          <w:szCs w:val="20"/>
        </w:rPr>
        <w:t>(</w:t>
      </w:r>
      <w:proofErr w:type="spellStart"/>
      <w:r w:rsidRPr="00147837">
        <w:rPr>
          <w:rFonts w:ascii="Arial" w:hAnsi="Arial" w:cs="Arial"/>
          <w:sz w:val="20"/>
          <w:szCs w:val="20"/>
        </w:rPr>
        <w:t>Vivek</w:t>
      </w:r>
      <w:proofErr w:type="spellEnd"/>
      <w:r w:rsidRPr="00147837">
        <w:rPr>
          <w:rFonts w:ascii="Arial" w:hAnsi="Arial" w:cs="Arial"/>
          <w:sz w:val="20"/>
          <w:szCs w:val="20"/>
        </w:rPr>
        <w:t xml:space="preserve"> Srivastava)</w:t>
      </w:r>
      <w:r w:rsidRPr="00147837">
        <w:rPr>
          <w:rFonts w:ascii="Arial" w:hAnsi="Arial" w:cs="Arial"/>
          <w:sz w:val="20"/>
          <w:szCs w:val="20"/>
        </w:rPr>
        <w:br/>
        <w:t>Chief General Manager</w:t>
      </w:r>
    </w:p>
    <w:p w:rsidR="00DB76CD" w:rsidRDefault="00DB76CD" w:rsidP="00DB76CD"/>
    <w:p w:rsidR="00DB76CD" w:rsidRDefault="00DB76CD" w:rsidP="00DB76CD"/>
    <w:p w:rsidR="00DB76CD" w:rsidRPr="00435B25" w:rsidRDefault="00DB76CD" w:rsidP="00DB76CD">
      <w:pPr>
        <w:spacing w:after="0"/>
        <w:rPr>
          <w:rFonts w:ascii="Arial" w:hAnsi="Arial" w:cs="Arial"/>
          <w:sz w:val="20"/>
          <w:szCs w:val="20"/>
        </w:rPr>
      </w:pPr>
      <w:r w:rsidRPr="00435B25">
        <w:rPr>
          <w:rFonts w:ascii="Arial" w:hAnsi="Arial" w:cs="Arial"/>
          <w:sz w:val="20"/>
          <w:szCs w:val="20"/>
        </w:rPr>
        <w:t>More details can be referred to in the below link.</w:t>
      </w:r>
    </w:p>
    <w:p w:rsidR="00DB76CD" w:rsidRDefault="00DB76CD" w:rsidP="00DB76CD">
      <w:pPr>
        <w:spacing w:after="0"/>
        <w:rPr>
          <w:rFonts w:ascii="Arial" w:hAnsi="Arial" w:cs="Arial"/>
          <w:sz w:val="20"/>
          <w:szCs w:val="20"/>
        </w:rPr>
      </w:pPr>
      <w:r w:rsidRPr="00435B25">
        <w:rPr>
          <w:rFonts w:ascii="Arial" w:hAnsi="Arial" w:cs="Arial"/>
          <w:sz w:val="20"/>
          <w:szCs w:val="20"/>
        </w:rPr>
        <w:t>Reference Link:</w:t>
      </w:r>
      <w:r>
        <w:rPr>
          <w:rFonts w:ascii="Arial" w:hAnsi="Arial" w:cs="Arial"/>
          <w:sz w:val="20"/>
          <w:szCs w:val="20"/>
        </w:rPr>
        <w:t xml:space="preserve"> </w:t>
      </w:r>
      <w:hyperlink r:id="rId30" w:history="1">
        <w:r w:rsidRPr="00200311">
          <w:rPr>
            <w:rStyle w:val="Hyperlink"/>
            <w:rFonts w:ascii="Arial" w:hAnsi="Arial" w:cs="Arial"/>
            <w:sz w:val="20"/>
            <w:szCs w:val="20"/>
          </w:rPr>
          <w:t>https://www.rbi.org.in/scripts/NotificationUser.aspx?Id=12386&amp;Mode=0</w:t>
        </w:r>
      </w:hyperlink>
    </w:p>
    <w:p w:rsidR="00DB76CD" w:rsidRDefault="00DB76CD" w:rsidP="00DE6119">
      <w:pPr>
        <w:pStyle w:val="NormalWeb"/>
        <w:rPr>
          <w:rFonts w:ascii="Arial" w:hAnsi="Arial" w:cs="Arial"/>
          <w:b/>
          <w:bCs/>
          <w:color w:val="000000"/>
          <w:sz w:val="20"/>
          <w:szCs w:val="20"/>
        </w:rPr>
      </w:pPr>
    </w:p>
    <w:p w:rsidR="00DB76CD" w:rsidRDefault="00DB76CD" w:rsidP="00DE6119">
      <w:pPr>
        <w:pStyle w:val="NormalWeb"/>
        <w:rPr>
          <w:rFonts w:ascii="Arial" w:hAnsi="Arial" w:cs="Arial"/>
          <w:b/>
          <w:bCs/>
          <w:color w:val="000000"/>
          <w:sz w:val="20"/>
          <w:szCs w:val="20"/>
        </w:rPr>
      </w:pPr>
    </w:p>
    <w:p w:rsidR="00DB76CD" w:rsidRDefault="00DB76CD" w:rsidP="00DE6119">
      <w:pPr>
        <w:pStyle w:val="NormalWeb"/>
        <w:rPr>
          <w:rFonts w:ascii="Arial" w:hAnsi="Arial" w:cs="Arial"/>
          <w:b/>
          <w:bCs/>
          <w:color w:val="000000"/>
          <w:sz w:val="20"/>
          <w:szCs w:val="20"/>
        </w:rPr>
      </w:pPr>
    </w:p>
    <w:p w:rsidR="00DB76CD" w:rsidRDefault="00DB76CD" w:rsidP="00DE6119">
      <w:pPr>
        <w:pStyle w:val="NormalWeb"/>
        <w:rPr>
          <w:rFonts w:ascii="Arial" w:hAnsi="Arial" w:cs="Arial"/>
          <w:b/>
          <w:bCs/>
          <w:color w:val="000000"/>
          <w:sz w:val="20"/>
          <w:szCs w:val="20"/>
        </w:rPr>
      </w:pPr>
    </w:p>
    <w:p w:rsidR="00DB76CD" w:rsidRDefault="00DB76CD" w:rsidP="00DE6119">
      <w:pPr>
        <w:pStyle w:val="NormalWeb"/>
        <w:rPr>
          <w:rFonts w:ascii="Arial" w:hAnsi="Arial" w:cs="Arial"/>
          <w:b/>
          <w:bCs/>
          <w:color w:val="000000"/>
          <w:sz w:val="20"/>
          <w:szCs w:val="20"/>
        </w:rPr>
      </w:pPr>
    </w:p>
    <w:p w:rsidR="00DB76CD" w:rsidRDefault="00DB76CD" w:rsidP="00DE6119">
      <w:pPr>
        <w:pStyle w:val="NormalWeb"/>
        <w:rPr>
          <w:rFonts w:ascii="Arial" w:hAnsi="Arial" w:cs="Arial"/>
          <w:b/>
          <w:bCs/>
          <w:color w:val="000000"/>
          <w:sz w:val="20"/>
          <w:szCs w:val="20"/>
        </w:rPr>
      </w:pPr>
    </w:p>
    <w:p w:rsidR="0036265F" w:rsidRDefault="0036265F" w:rsidP="0036265F">
      <w:pPr>
        <w:pStyle w:val="NormalWeb"/>
        <w:rPr>
          <w:rFonts w:ascii="Arial" w:hAnsi="Arial" w:cs="Arial"/>
          <w:b/>
          <w:bCs/>
          <w:color w:val="000000"/>
          <w:sz w:val="20"/>
          <w:szCs w:val="20"/>
        </w:rPr>
      </w:pPr>
      <w:r>
        <w:rPr>
          <w:rFonts w:ascii="Arial" w:hAnsi="Arial" w:cs="Arial"/>
          <w:b/>
          <w:bCs/>
          <w:color w:val="000000"/>
          <w:sz w:val="20"/>
          <w:szCs w:val="20"/>
        </w:rPr>
        <w:lastRenderedPageBreak/>
        <w:t>Eligibility Criteria for offering Internet Banking Facility by Regional Rural Banks, 2022</w:t>
      </w:r>
    </w:p>
    <w:p w:rsidR="0036265F" w:rsidRDefault="0036265F" w:rsidP="0036265F">
      <w:pPr>
        <w:pStyle w:val="NormalWeb"/>
        <w:jc w:val="both"/>
        <w:rPr>
          <w:rFonts w:ascii="Arial" w:hAnsi="Arial" w:cs="Arial"/>
          <w:color w:val="000000"/>
          <w:sz w:val="20"/>
          <w:szCs w:val="20"/>
        </w:rPr>
      </w:pPr>
      <w:r>
        <w:rPr>
          <w:rFonts w:ascii="Arial" w:hAnsi="Arial" w:cs="Arial"/>
          <w:color w:val="000000"/>
          <w:sz w:val="20"/>
          <w:szCs w:val="20"/>
        </w:rPr>
        <w:t>RBI/2022-23/135</w:t>
      </w:r>
      <w:r>
        <w:rPr>
          <w:rFonts w:ascii="Arial" w:hAnsi="Arial" w:cs="Arial"/>
          <w:color w:val="000000"/>
          <w:sz w:val="20"/>
          <w:szCs w:val="20"/>
        </w:rPr>
        <w:br/>
        <w:t>DoR.AUT.REC.81/24.01.001/2022-23</w:t>
      </w:r>
    </w:p>
    <w:p w:rsidR="0036265F" w:rsidRDefault="0036265F" w:rsidP="0036265F">
      <w:pPr>
        <w:pStyle w:val="NormalWeb"/>
        <w:jc w:val="right"/>
        <w:rPr>
          <w:rFonts w:ascii="Arial" w:hAnsi="Arial" w:cs="Arial"/>
          <w:color w:val="000000"/>
          <w:sz w:val="20"/>
          <w:szCs w:val="20"/>
        </w:rPr>
      </w:pPr>
      <w:r>
        <w:rPr>
          <w:rFonts w:ascii="Arial" w:hAnsi="Arial" w:cs="Arial"/>
          <w:color w:val="000000"/>
          <w:sz w:val="20"/>
          <w:szCs w:val="20"/>
        </w:rPr>
        <w:t>November 01, 2022</w:t>
      </w:r>
    </w:p>
    <w:p w:rsidR="0036265F" w:rsidRDefault="0036265F" w:rsidP="0036265F">
      <w:pPr>
        <w:pStyle w:val="NormalWeb"/>
        <w:jc w:val="both"/>
        <w:rPr>
          <w:rFonts w:ascii="Arial" w:hAnsi="Arial" w:cs="Arial"/>
          <w:color w:val="000000"/>
          <w:sz w:val="20"/>
          <w:szCs w:val="20"/>
        </w:rPr>
      </w:pPr>
      <w:r>
        <w:rPr>
          <w:rFonts w:ascii="Arial" w:hAnsi="Arial" w:cs="Arial"/>
          <w:color w:val="000000"/>
          <w:sz w:val="20"/>
          <w:szCs w:val="20"/>
        </w:rPr>
        <w:t>Madam / Sir,</w:t>
      </w:r>
    </w:p>
    <w:p w:rsidR="0036265F" w:rsidRDefault="0036265F" w:rsidP="0036265F">
      <w:pPr>
        <w:pStyle w:val="head"/>
        <w:jc w:val="center"/>
        <w:rPr>
          <w:rFonts w:ascii="Arial" w:hAnsi="Arial" w:cs="Arial"/>
          <w:b/>
          <w:bCs/>
          <w:color w:val="000000"/>
          <w:sz w:val="20"/>
          <w:szCs w:val="20"/>
        </w:rPr>
      </w:pPr>
      <w:r>
        <w:rPr>
          <w:rFonts w:ascii="Arial" w:hAnsi="Arial" w:cs="Arial"/>
          <w:b/>
          <w:bCs/>
          <w:color w:val="000000"/>
          <w:sz w:val="20"/>
          <w:szCs w:val="20"/>
        </w:rPr>
        <w:t>Eligibility Criteria for offering Internet Banking Facility by Regional Rural Banks, 2022</w:t>
      </w:r>
    </w:p>
    <w:p w:rsidR="0036265F" w:rsidRDefault="0036265F" w:rsidP="0036265F">
      <w:pPr>
        <w:pStyle w:val="NormalWeb"/>
        <w:jc w:val="both"/>
        <w:rPr>
          <w:rFonts w:ascii="Arial" w:hAnsi="Arial" w:cs="Arial"/>
          <w:color w:val="000000"/>
          <w:sz w:val="20"/>
          <w:szCs w:val="20"/>
        </w:rPr>
      </w:pPr>
      <w:r>
        <w:rPr>
          <w:rFonts w:ascii="Arial" w:hAnsi="Arial" w:cs="Arial"/>
          <w:color w:val="000000"/>
          <w:sz w:val="20"/>
          <w:szCs w:val="20"/>
        </w:rPr>
        <w:t>In exercise of the powers conferred by Sections 35A of the Banking Regulation Act, 1949, the Reserve Bank of India being satisfied that it is necessary and expedient in the public interest so to do, hereby, amends the instructions issued vide </w:t>
      </w:r>
      <w:hyperlink r:id="rId31" w:tgtFrame="_blank" w:history="1">
        <w:r>
          <w:rPr>
            <w:rStyle w:val="Hyperlink"/>
            <w:rFonts w:ascii="Arial" w:hAnsi="Arial" w:cs="Arial"/>
            <w:sz w:val="20"/>
            <w:szCs w:val="20"/>
          </w:rPr>
          <w:t>circular DBR.RRB.BC.No.59/31.01.001/2015-16 dated November 19, 2015</w:t>
        </w:r>
      </w:hyperlink>
      <w:r>
        <w:rPr>
          <w:rFonts w:ascii="Arial" w:hAnsi="Arial" w:cs="Arial"/>
          <w:color w:val="000000"/>
          <w:sz w:val="20"/>
          <w:szCs w:val="20"/>
        </w:rPr>
        <w:t> on ‘Internet Banking Facility for Customers of Regional Rural Banks’.</w:t>
      </w:r>
    </w:p>
    <w:p w:rsidR="0036265F" w:rsidRDefault="0036265F" w:rsidP="0036265F">
      <w:pPr>
        <w:pStyle w:val="NormalWeb"/>
        <w:jc w:val="both"/>
        <w:rPr>
          <w:rFonts w:ascii="Arial" w:hAnsi="Arial" w:cs="Arial"/>
          <w:color w:val="000000"/>
          <w:sz w:val="20"/>
          <w:szCs w:val="20"/>
        </w:rPr>
      </w:pPr>
      <w:r>
        <w:rPr>
          <w:rFonts w:ascii="Arial" w:hAnsi="Arial" w:cs="Arial"/>
          <w:color w:val="000000"/>
          <w:sz w:val="20"/>
          <w:szCs w:val="20"/>
        </w:rPr>
        <w:t>Keeping in view the need to promote the spread of digital banking for customers in rural areas, the eligibility criteria applicable to Regional Rural Banks for offering Internet Banking with transactional facility to their customers have been revised, the details of which are enclosed in the </w:t>
      </w:r>
      <w:hyperlink r:id="rId32" w:anchor="AN" w:history="1">
        <w:r>
          <w:rPr>
            <w:rStyle w:val="Hyperlink"/>
            <w:rFonts w:ascii="Arial" w:hAnsi="Arial" w:cs="Arial"/>
            <w:sz w:val="20"/>
            <w:szCs w:val="20"/>
          </w:rPr>
          <w:t>Annex</w:t>
        </w:r>
      </w:hyperlink>
      <w:r>
        <w:rPr>
          <w:rFonts w:ascii="Arial" w:hAnsi="Arial" w:cs="Arial"/>
          <w:color w:val="000000"/>
          <w:sz w:val="20"/>
          <w:szCs w:val="20"/>
        </w:rPr>
        <w:t>.</w:t>
      </w:r>
    </w:p>
    <w:p w:rsidR="0036265F" w:rsidRDefault="0036265F" w:rsidP="0036265F">
      <w:pPr>
        <w:pStyle w:val="head"/>
        <w:jc w:val="both"/>
        <w:rPr>
          <w:rFonts w:ascii="Arial" w:hAnsi="Arial" w:cs="Arial"/>
          <w:b/>
          <w:bCs/>
          <w:color w:val="000000"/>
          <w:sz w:val="20"/>
          <w:szCs w:val="20"/>
        </w:rPr>
      </w:pPr>
      <w:r>
        <w:rPr>
          <w:rFonts w:ascii="Arial" w:hAnsi="Arial" w:cs="Arial"/>
          <w:b/>
          <w:bCs/>
          <w:color w:val="000000"/>
          <w:sz w:val="20"/>
          <w:szCs w:val="20"/>
        </w:rPr>
        <w:t>2. Commencement</w:t>
      </w:r>
    </w:p>
    <w:p w:rsidR="0036265F" w:rsidRDefault="0036265F" w:rsidP="0036265F">
      <w:pPr>
        <w:pStyle w:val="NormalWeb"/>
        <w:jc w:val="both"/>
        <w:rPr>
          <w:rFonts w:ascii="Arial" w:hAnsi="Arial" w:cs="Arial"/>
          <w:color w:val="000000"/>
          <w:sz w:val="20"/>
          <w:szCs w:val="20"/>
        </w:rPr>
      </w:pPr>
      <w:r>
        <w:rPr>
          <w:rFonts w:ascii="Arial" w:hAnsi="Arial" w:cs="Arial"/>
          <w:color w:val="000000"/>
          <w:sz w:val="20"/>
          <w:szCs w:val="20"/>
        </w:rPr>
        <w:t>The circular comes into force from November 01, 2022.</w:t>
      </w:r>
    </w:p>
    <w:p w:rsidR="0036265F" w:rsidRDefault="0036265F" w:rsidP="0036265F">
      <w:pPr>
        <w:pStyle w:val="head"/>
        <w:jc w:val="both"/>
        <w:rPr>
          <w:rFonts w:ascii="Arial" w:hAnsi="Arial" w:cs="Arial"/>
          <w:b/>
          <w:bCs/>
          <w:color w:val="000000"/>
          <w:sz w:val="20"/>
          <w:szCs w:val="20"/>
        </w:rPr>
      </w:pPr>
      <w:r>
        <w:rPr>
          <w:rFonts w:ascii="Arial" w:hAnsi="Arial" w:cs="Arial"/>
          <w:b/>
          <w:bCs/>
          <w:color w:val="000000"/>
          <w:sz w:val="20"/>
          <w:szCs w:val="20"/>
        </w:rPr>
        <w:t>3. Applicability</w:t>
      </w:r>
    </w:p>
    <w:p w:rsidR="0036265F" w:rsidRDefault="0036265F" w:rsidP="0036265F">
      <w:pPr>
        <w:pStyle w:val="NormalWeb"/>
        <w:jc w:val="both"/>
        <w:rPr>
          <w:rFonts w:ascii="Arial" w:hAnsi="Arial" w:cs="Arial"/>
          <w:color w:val="000000"/>
          <w:sz w:val="20"/>
          <w:szCs w:val="20"/>
        </w:rPr>
      </w:pPr>
      <w:r>
        <w:rPr>
          <w:rFonts w:ascii="Arial" w:hAnsi="Arial" w:cs="Arial"/>
          <w:color w:val="000000"/>
          <w:sz w:val="20"/>
          <w:szCs w:val="20"/>
        </w:rPr>
        <w:t>This circular is applicable to all Regional Rural Banks (RRBs).</w:t>
      </w:r>
    </w:p>
    <w:p w:rsidR="0036265F" w:rsidRDefault="0036265F" w:rsidP="0036265F">
      <w:pPr>
        <w:pStyle w:val="NormalWeb"/>
        <w:rPr>
          <w:rFonts w:ascii="Arial" w:hAnsi="Arial" w:cs="Arial"/>
          <w:color w:val="000000"/>
          <w:sz w:val="20"/>
          <w:szCs w:val="20"/>
        </w:rPr>
      </w:pPr>
      <w:r>
        <w:rPr>
          <w:rFonts w:ascii="Arial" w:hAnsi="Arial" w:cs="Arial"/>
          <w:color w:val="000000"/>
          <w:sz w:val="20"/>
          <w:szCs w:val="20"/>
        </w:rPr>
        <w:t xml:space="preserve">(Prakash </w:t>
      </w:r>
      <w:proofErr w:type="spellStart"/>
      <w:r>
        <w:rPr>
          <w:rFonts w:ascii="Arial" w:hAnsi="Arial" w:cs="Arial"/>
          <w:color w:val="000000"/>
          <w:sz w:val="20"/>
          <w:szCs w:val="20"/>
        </w:rPr>
        <w:t>Baliarsingh</w:t>
      </w:r>
      <w:proofErr w:type="spellEnd"/>
      <w:r>
        <w:rPr>
          <w:rFonts w:ascii="Arial" w:hAnsi="Arial" w:cs="Arial"/>
          <w:color w:val="000000"/>
          <w:sz w:val="20"/>
          <w:szCs w:val="20"/>
        </w:rPr>
        <w:t>)</w:t>
      </w:r>
      <w:r>
        <w:rPr>
          <w:rFonts w:ascii="Arial" w:hAnsi="Arial" w:cs="Arial"/>
          <w:color w:val="000000"/>
          <w:sz w:val="20"/>
          <w:szCs w:val="20"/>
        </w:rPr>
        <w:br/>
        <w:t>Chief General Manager</w:t>
      </w:r>
    </w:p>
    <w:p w:rsidR="0036265F" w:rsidRDefault="0036265F" w:rsidP="0036265F">
      <w:pPr>
        <w:pStyle w:val="NormalWeb"/>
        <w:rPr>
          <w:rFonts w:ascii="Arial" w:hAnsi="Arial" w:cs="Arial"/>
          <w:b/>
          <w:bCs/>
          <w:color w:val="000000"/>
          <w:sz w:val="20"/>
          <w:szCs w:val="20"/>
        </w:rPr>
      </w:pPr>
    </w:p>
    <w:p w:rsidR="0036265F" w:rsidRDefault="0036265F" w:rsidP="0036265F">
      <w:pPr>
        <w:pStyle w:val="NormalWeb"/>
        <w:rPr>
          <w:rFonts w:ascii="Arial" w:hAnsi="Arial" w:cs="Arial"/>
          <w:b/>
          <w:bCs/>
          <w:color w:val="000000"/>
          <w:sz w:val="20"/>
          <w:szCs w:val="20"/>
        </w:rPr>
      </w:pPr>
    </w:p>
    <w:p w:rsidR="0036265F" w:rsidRDefault="0036265F" w:rsidP="0036265F">
      <w:pPr>
        <w:pStyle w:val="NormalWeb"/>
        <w:rPr>
          <w:rFonts w:ascii="Arial" w:hAnsi="Arial" w:cs="Arial"/>
          <w:b/>
          <w:bCs/>
          <w:color w:val="000000"/>
          <w:sz w:val="20"/>
          <w:szCs w:val="20"/>
        </w:rPr>
      </w:pPr>
    </w:p>
    <w:p w:rsidR="0036265F" w:rsidRDefault="0036265F" w:rsidP="0036265F">
      <w:r>
        <w:t>More details can be referred to in the below link.</w:t>
      </w:r>
    </w:p>
    <w:p w:rsidR="0036265F" w:rsidRDefault="0036265F" w:rsidP="0036265F">
      <w:pPr>
        <w:pStyle w:val="NormalWeb"/>
        <w:rPr>
          <w:rFonts w:ascii="Arial" w:hAnsi="Arial" w:cs="Arial"/>
          <w:bCs/>
          <w:color w:val="000000"/>
          <w:sz w:val="20"/>
          <w:szCs w:val="20"/>
        </w:rPr>
      </w:pPr>
      <w:r>
        <w:rPr>
          <w:rFonts w:ascii="Arial" w:hAnsi="Arial" w:cs="Arial"/>
          <w:bCs/>
          <w:color w:val="000000"/>
          <w:sz w:val="20"/>
          <w:szCs w:val="20"/>
        </w:rPr>
        <w:t>Reference Link:</w:t>
      </w:r>
      <w:r>
        <w:rPr>
          <w:rFonts w:ascii="Arial" w:hAnsi="Arial" w:cs="Arial"/>
          <w:b/>
          <w:bCs/>
          <w:color w:val="000000"/>
          <w:sz w:val="20"/>
          <w:szCs w:val="20"/>
        </w:rPr>
        <w:t xml:space="preserve"> </w:t>
      </w:r>
      <w:hyperlink r:id="rId33" w:history="1">
        <w:r w:rsidRPr="00996689">
          <w:rPr>
            <w:rStyle w:val="Hyperlink"/>
            <w:rFonts w:ascii="Arial" w:hAnsi="Arial" w:cs="Arial"/>
            <w:bCs/>
            <w:sz w:val="20"/>
            <w:szCs w:val="20"/>
          </w:rPr>
          <w:t>https://www.rbi.org.in/scripts/FS_Notification.aspx?Id=12407&amp;fn=2&amp;Mode=0</w:t>
        </w:r>
      </w:hyperlink>
    </w:p>
    <w:p w:rsidR="0036265F" w:rsidRPr="00ED4725" w:rsidRDefault="0036265F" w:rsidP="0036265F">
      <w:pPr>
        <w:pStyle w:val="NormalWeb"/>
        <w:rPr>
          <w:rFonts w:ascii="Arial" w:hAnsi="Arial" w:cs="Arial"/>
          <w:bCs/>
          <w:color w:val="000000"/>
          <w:sz w:val="20"/>
          <w:szCs w:val="20"/>
        </w:rPr>
      </w:pPr>
    </w:p>
    <w:p w:rsidR="0036265F" w:rsidRDefault="0036265F" w:rsidP="0036265F">
      <w:pPr>
        <w:pStyle w:val="NormalWeb"/>
        <w:rPr>
          <w:rFonts w:ascii="Arial" w:hAnsi="Arial" w:cs="Arial"/>
          <w:b/>
          <w:bCs/>
          <w:color w:val="000000"/>
          <w:sz w:val="20"/>
          <w:szCs w:val="20"/>
        </w:rPr>
      </w:pPr>
    </w:p>
    <w:p w:rsidR="0036265F" w:rsidRDefault="0036265F" w:rsidP="0036265F">
      <w:pPr>
        <w:pStyle w:val="NormalWeb"/>
        <w:rPr>
          <w:rFonts w:ascii="Arial" w:hAnsi="Arial" w:cs="Arial"/>
          <w:b/>
          <w:bCs/>
          <w:color w:val="000000"/>
          <w:sz w:val="20"/>
          <w:szCs w:val="20"/>
        </w:rPr>
      </w:pPr>
    </w:p>
    <w:p w:rsidR="0036265F" w:rsidRDefault="0036265F" w:rsidP="0036265F">
      <w:pPr>
        <w:pStyle w:val="NormalWeb"/>
        <w:rPr>
          <w:rFonts w:ascii="Arial" w:hAnsi="Arial" w:cs="Arial"/>
          <w:b/>
          <w:bCs/>
          <w:color w:val="000000"/>
          <w:sz w:val="20"/>
          <w:szCs w:val="20"/>
        </w:rPr>
      </w:pPr>
    </w:p>
    <w:p w:rsidR="0036265F" w:rsidRDefault="0036265F" w:rsidP="0036265F">
      <w:pPr>
        <w:pStyle w:val="NormalWeb"/>
        <w:rPr>
          <w:rFonts w:ascii="Arial" w:hAnsi="Arial" w:cs="Arial"/>
          <w:b/>
          <w:bCs/>
          <w:color w:val="000000"/>
          <w:sz w:val="20"/>
          <w:szCs w:val="20"/>
        </w:rPr>
      </w:pPr>
    </w:p>
    <w:p w:rsidR="0036265F" w:rsidRDefault="0036265F" w:rsidP="00DE6119">
      <w:pPr>
        <w:pStyle w:val="NormalWeb"/>
        <w:rPr>
          <w:rFonts w:ascii="Arial" w:hAnsi="Arial" w:cs="Arial"/>
          <w:b/>
          <w:bCs/>
          <w:color w:val="000000"/>
          <w:sz w:val="20"/>
          <w:szCs w:val="20"/>
        </w:rPr>
      </w:pPr>
    </w:p>
    <w:p w:rsidR="0036265F" w:rsidRDefault="0036265F" w:rsidP="00DE6119">
      <w:pPr>
        <w:pStyle w:val="NormalWeb"/>
        <w:rPr>
          <w:rFonts w:ascii="Arial" w:hAnsi="Arial" w:cs="Arial"/>
          <w:b/>
          <w:bCs/>
          <w:color w:val="000000"/>
          <w:sz w:val="20"/>
          <w:szCs w:val="20"/>
        </w:rPr>
      </w:pPr>
    </w:p>
    <w:p w:rsidR="0036265F" w:rsidRDefault="0036265F" w:rsidP="0036265F">
      <w:pPr>
        <w:spacing w:line="259" w:lineRule="auto"/>
        <w:rPr>
          <w:rFonts w:ascii="Arial" w:hAnsi="Arial" w:cs="Arial"/>
          <w:b/>
          <w:bCs/>
          <w:color w:val="000000"/>
          <w:sz w:val="20"/>
          <w:szCs w:val="20"/>
        </w:rPr>
      </w:pPr>
      <w:r>
        <w:rPr>
          <w:rFonts w:ascii="Arial" w:hAnsi="Arial" w:cs="Arial"/>
          <w:b/>
          <w:bCs/>
          <w:color w:val="000000"/>
          <w:sz w:val="20"/>
          <w:szCs w:val="20"/>
        </w:rPr>
        <w:lastRenderedPageBreak/>
        <w:t>Central Payments Fraud Information Registry – Migration of Reporting to DAKSH</w:t>
      </w:r>
    </w:p>
    <w:p w:rsidR="0036265F" w:rsidRDefault="0036265F" w:rsidP="0036265F">
      <w:pPr>
        <w:pStyle w:val="NormalWeb"/>
        <w:jc w:val="both"/>
        <w:rPr>
          <w:rFonts w:ascii="Arial" w:hAnsi="Arial" w:cs="Arial"/>
          <w:color w:val="000000"/>
          <w:sz w:val="20"/>
          <w:szCs w:val="20"/>
        </w:rPr>
      </w:pPr>
      <w:r>
        <w:rPr>
          <w:rFonts w:ascii="Arial" w:hAnsi="Arial" w:cs="Arial"/>
          <w:color w:val="000000"/>
          <w:sz w:val="20"/>
          <w:szCs w:val="20"/>
        </w:rPr>
        <w:t>RBI/2022-23/158</w:t>
      </w:r>
      <w:r>
        <w:rPr>
          <w:rFonts w:ascii="Arial" w:hAnsi="Arial" w:cs="Arial"/>
          <w:color w:val="000000"/>
          <w:sz w:val="20"/>
          <w:szCs w:val="20"/>
        </w:rPr>
        <w:br/>
        <w:t>CO.DPSS.OVRST.No.S1619/06-08-005/2022-2023</w:t>
      </w:r>
    </w:p>
    <w:p w:rsidR="0036265F" w:rsidRDefault="0036265F" w:rsidP="0036265F">
      <w:pPr>
        <w:pStyle w:val="NormalWeb"/>
        <w:jc w:val="right"/>
        <w:rPr>
          <w:rFonts w:ascii="Arial" w:hAnsi="Arial" w:cs="Arial"/>
          <w:color w:val="000000"/>
          <w:sz w:val="20"/>
          <w:szCs w:val="20"/>
        </w:rPr>
      </w:pPr>
      <w:r>
        <w:rPr>
          <w:rFonts w:ascii="Arial" w:hAnsi="Arial" w:cs="Arial"/>
          <w:color w:val="000000"/>
          <w:sz w:val="20"/>
          <w:szCs w:val="20"/>
        </w:rPr>
        <w:t>December 26, 2022</w:t>
      </w:r>
    </w:p>
    <w:p w:rsidR="0036265F" w:rsidRDefault="0036265F" w:rsidP="0036265F">
      <w:pPr>
        <w:pStyle w:val="NormalWeb"/>
        <w:rPr>
          <w:rFonts w:ascii="Arial" w:hAnsi="Arial" w:cs="Arial"/>
          <w:color w:val="000000"/>
          <w:sz w:val="20"/>
          <w:szCs w:val="20"/>
        </w:rPr>
      </w:pPr>
      <w:r>
        <w:rPr>
          <w:rFonts w:ascii="Arial" w:hAnsi="Arial" w:cs="Arial"/>
          <w:color w:val="000000"/>
          <w:sz w:val="20"/>
          <w:szCs w:val="20"/>
        </w:rPr>
        <w:t>The Chairman / Managing Director / Chief Executive Officer</w:t>
      </w:r>
      <w:r>
        <w:rPr>
          <w:rFonts w:ascii="Arial" w:hAnsi="Arial" w:cs="Arial"/>
          <w:color w:val="000000"/>
          <w:sz w:val="20"/>
          <w:szCs w:val="20"/>
        </w:rPr>
        <w:br/>
        <w:t>Banks, Non-bank Payment System Operators (PSOs) and</w:t>
      </w:r>
      <w:r>
        <w:rPr>
          <w:rFonts w:ascii="Arial" w:hAnsi="Arial" w:cs="Arial"/>
          <w:color w:val="000000"/>
          <w:sz w:val="20"/>
          <w:szCs w:val="20"/>
        </w:rPr>
        <w:br/>
        <w:t>Credit Card issuing Non-Banking Financial Companies (NBFCs)</w:t>
      </w:r>
    </w:p>
    <w:p w:rsidR="0036265F" w:rsidRDefault="0036265F" w:rsidP="0036265F">
      <w:pPr>
        <w:pStyle w:val="NormalWeb"/>
        <w:jc w:val="both"/>
        <w:rPr>
          <w:rFonts w:ascii="Arial" w:hAnsi="Arial" w:cs="Arial"/>
          <w:color w:val="000000"/>
          <w:sz w:val="20"/>
          <w:szCs w:val="20"/>
        </w:rPr>
      </w:pPr>
      <w:r>
        <w:rPr>
          <w:rFonts w:ascii="Arial" w:hAnsi="Arial" w:cs="Arial"/>
          <w:color w:val="000000"/>
          <w:sz w:val="20"/>
          <w:szCs w:val="20"/>
        </w:rPr>
        <w:t>Madam / Dear Sir,</w:t>
      </w:r>
    </w:p>
    <w:p w:rsidR="0036265F" w:rsidRDefault="0036265F" w:rsidP="0036265F">
      <w:pPr>
        <w:pStyle w:val="head"/>
        <w:jc w:val="both"/>
        <w:rPr>
          <w:rFonts w:ascii="Arial" w:hAnsi="Arial" w:cs="Arial"/>
          <w:b/>
          <w:bCs/>
          <w:color w:val="000000"/>
          <w:sz w:val="20"/>
          <w:szCs w:val="20"/>
        </w:rPr>
      </w:pPr>
      <w:r>
        <w:rPr>
          <w:rFonts w:ascii="Arial" w:hAnsi="Arial" w:cs="Arial"/>
          <w:b/>
          <w:bCs/>
          <w:color w:val="000000"/>
          <w:sz w:val="20"/>
          <w:szCs w:val="20"/>
        </w:rPr>
        <w:t>Central Payments Fraud Information Registry – Migration of Reporting to DAKSH</w:t>
      </w:r>
    </w:p>
    <w:p w:rsidR="0036265F" w:rsidRDefault="0036265F" w:rsidP="0036265F">
      <w:pPr>
        <w:pStyle w:val="NormalWeb"/>
        <w:jc w:val="both"/>
        <w:rPr>
          <w:rFonts w:ascii="Arial" w:hAnsi="Arial" w:cs="Arial"/>
          <w:color w:val="000000"/>
          <w:sz w:val="20"/>
          <w:szCs w:val="20"/>
        </w:rPr>
      </w:pPr>
      <w:r>
        <w:rPr>
          <w:rFonts w:ascii="Arial" w:hAnsi="Arial" w:cs="Arial"/>
          <w:color w:val="000000"/>
          <w:sz w:val="20"/>
          <w:szCs w:val="20"/>
        </w:rPr>
        <w:t>As announced in the </w:t>
      </w:r>
      <w:hyperlink r:id="rId34" w:tgtFrame="_blank" w:history="1">
        <w:r>
          <w:rPr>
            <w:rStyle w:val="Hyperlink"/>
            <w:rFonts w:ascii="Arial" w:hAnsi="Arial" w:cs="Arial"/>
            <w:sz w:val="20"/>
            <w:szCs w:val="20"/>
          </w:rPr>
          <w:t>Monetary Policy Statement 2019-20 on August 07, 2019</w:t>
        </w:r>
      </w:hyperlink>
      <w:r>
        <w:rPr>
          <w:rFonts w:ascii="Arial" w:hAnsi="Arial" w:cs="Arial"/>
          <w:color w:val="000000"/>
          <w:sz w:val="20"/>
          <w:szCs w:val="20"/>
        </w:rPr>
        <w:t>, the Reserve Bank of India (RBI) had operationalised the Central Payments Fraud Information Registry (CPFIR) in March 2020 with reporting of payment frauds by scheduled commercial banks and non-bank Prepaid Payment Instrument (PPI) issuers.</w:t>
      </w:r>
    </w:p>
    <w:p w:rsidR="0036265F" w:rsidRDefault="0036265F" w:rsidP="0036265F">
      <w:pPr>
        <w:pStyle w:val="NormalWeb"/>
        <w:jc w:val="both"/>
        <w:rPr>
          <w:rFonts w:ascii="Arial" w:hAnsi="Arial" w:cs="Arial"/>
          <w:color w:val="000000"/>
          <w:sz w:val="20"/>
          <w:szCs w:val="20"/>
        </w:rPr>
      </w:pPr>
      <w:r>
        <w:rPr>
          <w:rFonts w:ascii="Arial" w:hAnsi="Arial" w:cs="Arial"/>
          <w:color w:val="000000"/>
          <w:sz w:val="20"/>
          <w:szCs w:val="20"/>
        </w:rPr>
        <w:t>2. To streamline reporting, enhance efficiency and automate the payments fraud management process, the fraud reporting module is being migrated to </w:t>
      </w:r>
      <w:hyperlink r:id="rId35" w:anchor="/login" w:tgtFrame="_blank" w:history="1">
        <w:r>
          <w:rPr>
            <w:rStyle w:val="Hyperlink"/>
            <w:rFonts w:ascii="Arial" w:hAnsi="Arial" w:cs="Arial"/>
            <w:sz w:val="20"/>
            <w:szCs w:val="20"/>
          </w:rPr>
          <w:t>DAKSH – Reserve Bank’s Advanced Supervisory Monitoring System</w:t>
        </w:r>
      </w:hyperlink>
      <w:r>
        <w:rPr>
          <w:rFonts w:ascii="Arial" w:hAnsi="Arial" w:cs="Arial"/>
          <w:color w:val="000000"/>
          <w:sz w:val="20"/>
          <w:szCs w:val="20"/>
        </w:rPr>
        <w:t>. The migration will be effective from </w:t>
      </w:r>
      <w:r>
        <w:rPr>
          <w:rStyle w:val="head1"/>
          <w:rFonts w:ascii="Arial" w:hAnsi="Arial" w:cs="Arial"/>
          <w:b/>
          <w:bCs/>
          <w:color w:val="000000"/>
          <w:sz w:val="20"/>
          <w:szCs w:val="20"/>
        </w:rPr>
        <w:t>January 01, 2023</w:t>
      </w:r>
      <w:r>
        <w:rPr>
          <w:rFonts w:ascii="Arial" w:hAnsi="Arial" w:cs="Arial"/>
          <w:color w:val="000000"/>
          <w:sz w:val="20"/>
          <w:szCs w:val="20"/>
        </w:rPr>
        <w:t>, i.e., entities shall commence reporting of payment frauds in DAKSH from this date. In addition to the existing bulk upload facility to report payment frauds, DAKSH provides additional functionalities, viz. maker-checker facility, online screen-based reporting, option for requesting additional information, facility to issue alerts / advisories, generation of dashboards and reports, etc. The reporting guidelines are mentioned in the </w:t>
      </w:r>
      <w:hyperlink r:id="rId36" w:anchor="AN1" w:history="1">
        <w:r>
          <w:rPr>
            <w:rStyle w:val="Hyperlink"/>
            <w:rFonts w:ascii="Arial" w:hAnsi="Arial" w:cs="Arial"/>
            <w:sz w:val="20"/>
            <w:szCs w:val="20"/>
          </w:rPr>
          <w:t>Annex</w:t>
        </w:r>
      </w:hyperlink>
      <w:r>
        <w:rPr>
          <w:rFonts w:ascii="Arial" w:hAnsi="Arial" w:cs="Arial"/>
          <w:color w:val="000000"/>
          <w:sz w:val="20"/>
          <w:szCs w:val="20"/>
        </w:rPr>
        <w:t>.</w:t>
      </w:r>
    </w:p>
    <w:p w:rsidR="0036265F" w:rsidRDefault="0036265F" w:rsidP="0036265F">
      <w:pPr>
        <w:pStyle w:val="NormalWeb"/>
        <w:jc w:val="both"/>
        <w:rPr>
          <w:rFonts w:ascii="Arial" w:hAnsi="Arial" w:cs="Arial"/>
          <w:color w:val="000000"/>
          <w:sz w:val="20"/>
          <w:szCs w:val="20"/>
        </w:rPr>
      </w:pPr>
      <w:r>
        <w:rPr>
          <w:rFonts w:ascii="Arial" w:hAnsi="Arial" w:cs="Arial"/>
          <w:color w:val="000000"/>
          <w:sz w:val="20"/>
          <w:szCs w:val="20"/>
        </w:rPr>
        <w:t>3. These directions are issued under Section 10 (2) read with Section 18 of Payment and settlement Systems Act, 2007 (Act 51 of 2007).</w:t>
      </w:r>
    </w:p>
    <w:p w:rsidR="0036265F" w:rsidRDefault="0036265F" w:rsidP="0036265F">
      <w:pPr>
        <w:pStyle w:val="NormalWeb"/>
        <w:jc w:val="both"/>
        <w:rPr>
          <w:rFonts w:ascii="Arial" w:hAnsi="Arial" w:cs="Arial"/>
          <w:color w:val="000000"/>
          <w:sz w:val="20"/>
          <w:szCs w:val="20"/>
        </w:rPr>
      </w:pPr>
      <w:r>
        <w:rPr>
          <w:rFonts w:ascii="Arial" w:hAnsi="Arial" w:cs="Arial"/>
          <w:color w:val="000000"/>
          <w:sz w:val="20"/>
          <w:szCs w:val="20"/>
        </w:rPr>
        <w:t>Yours faithfully,</w:t>
      </w:r>
    </w:p>
    <w:p w:rsidR="0036265F" w:rsidRDefault="0036265F" w:rsidP="0036265F">
      <w:pPr>
        <w:pStyle w:val="NormalWeb"/>
        <w:rPr>
          <w:rFonts w:ascii="Arial" w:hAnsi="Arial" w:cs="Arial"/>
          <w:color w:val="000000"/>
          <w:sz w:val="20"/>
          <w:szCs w:val="20"/>
        </w:rPr>
      </w:pPr>
      <w:r>
        <w:rPr>
          <w:rFonts w:ascii="Arial" w:hAnsi="Arial" w:cs="Arial"/>
          <w:color w:val="000000"/>
          <w:sz w:val="20"/>
          <w:szCs w:val="20"/>
        </w:rPr>
        <w:t xml:space="preserve">(P. </w:t>
      </w:r>
      <w:proofErr w:type="spellStart"/>
      <w:r>
        <w:rPr>
          <w:rFonts w:ascii="Arial" w:hAnsi="Arial" w:cs="Arial"/>
          <w:color w:val="000000"/>
          <w:sz w:val="20"/>
          <w:szCs w:val="20"/>
        </w:rPr>
        <w:t>Vasudevan</w:t>
      </w:r>
      <w:proofErr w:type="spellEnd"/>
      <w:r>
        <w:rPr>
          <w:rFonts w:ascii="Arial" w:hAnsi="Arial" w:cs="Arial"/>
          <w:color w:val="000000"/>
          <w:sz w:val="20"/>
          <w:szCs w:val="20"/>
        </w:rPr>
        <w:t>)</w:t>
      </w:r>
      <w:r>
        <w:rPr>
          <w:rFonts w:ascii="Arial" w:hAnsi="Arial" w:cs="Arial"/>
          <w:color w:val="000000"/>
          <w:sz w:val="20"/>
          <w:szCs w:val="20"/>
        </w:rPr>
        <w:br/>
        <w:t>Chief General Manager</w:t>
      </w:r>
    </w:p>
    <w:p w:rsidR="0036265F" w:rsidRDefault="0036265F" w:rsidP="0036265F">
      <w:pPr>
        <w:spacing w:line="259" w:lineRule="auto"/>
        <w:rPr>
          <w:rFonts w:ascii="Arial" w:hAnsi="Arial" w:cs="Arial"/>
          <w:sz w:val="20"/>
          <w:szCs w:val="20"/>
        </w:rPr>
      </w:pPr>
    </w:p>
    <w:p w:rsidR="0036265F" w:rsidRDefault="0036265F" w:rsidP="0036265F">
      <w:pPr>
        <w:spacing w:line="259" w:lineRule="auto"/>
        <w:rPr>
          <w:rFonts w:ascii="Arial" w:hAnsi="Arial" w:cs="Arial"/>
          <w:sz w:val="20"/>
          <w:szCs w:val="20"/>
        </w:rPr>
      </w:pPr>
    </w:p>
    <w:p w:rsidR="0036265F" w:rsidRDefault="0036265F" w:rsidP="0036265F">
      <w:r>
        <w:t>More details can be referred to in the below link.</w:t>
      </w:r>
    </w:p>
    <w:p w:rsidR="0036265F" w:rsidRDefault="0036265F" w:rsidP="0036265F">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37" w:history="1">
        <w:r w:rsidRPr="00B27270">
          <w:rPr>
            <w:rStyle w:val="Hyperlink"/>
            <w:rFonts w:ascii="Arial" w:hAnsi="Arial" w:cs="Arial"/>
            <w:bCs/>
            <w:sz w:val="20"/>
            <w:szCs w:val="20"/>
          </w:rPr>
          <w:t>https://m.rbi.org.in/scripts/FS_Notification.aspx?Id=12431&amp;fn=9&amp;Mode=0</w:t>
        </w:r>
      </w:hyperlink>
    </w:p>
    <w:p w:rsidR="0036265F" w:rsidRDefault="0036265F" w:rsidP="00DE6119">
      <w:pPr>
        <w:pStyle w:val="NormalWeb"/>
        <w:rPr>
          <w:rFonts w:ascii="Arial" w:hAnsi="Arial" w:cs="Arial"/>
          <w:b/>
          <w:bCs/>
          <w:color w:val="000000"/>
          <w:sz w:val="20"/>
          <w:szCs w:val="20"/>
        </w:rPr>
      </w:pPr>
    </w:p>
    <w:sectPr w:rsidR="003626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88F"/>
    <w:multiLevelType w:val="multilevel"/>
    <w:tmpl w:val="4B72A3B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8E025F9"/>
    <w:multiLevelType w:val="multilevel"/>
    <w:tmpl w:val="E3108F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DEE1848"/>
    <w:multiLevelType w:val="multilevel"/>
    <w:tmpl w:val="7EFE66D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FE91410"/>
    <w:multiLevelType w:val="multilevel"/>
    <w:tmpl w:val="C6E82E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1BF0048"/>
    <w:multiLevelType w:val="multilevel"/>
    <w:tmpl w:val="D9B0B3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2B1550F"/>
    <w:multiLevelType w:val="multilevel"/>
    <w:tmpl w:val="AECA1D5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C1460AC"/>
    <w:multiLevelType w:val="multilevel"/>
    <w:tmpl w:val="F77ABC2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1E3167B8"/>
    <w:multiLevelType w:val="multilevel"/>
    <w:tmpl w:val="96ACE0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EDC1B6B"/>
    <w:multiLevelType w:val="multilevel"/>
    <w:tmpl w:val="421C98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0824147"/>
    <w:multiLevelType w:val="multilevel"/>
    <w:tmpl w:val="EFB0C5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12E110C"/>
    <w:multiLevelType w:val="multilevel"/>
    <w:tmpl w:val="5B24EE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9090732"/>
    <w:multiLevelType w:val="multilevel"/>
    <w:tmpl w:val="5AA4B46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2B826247"/>
    <w:multiLevelType w:val="multilevel"/>
    <w:tmpl w:val="12EAFD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31925B4C"/>
    <w:multiLevelType w:val="multilevel"/>
    <w:tmpl w:val="9E0CA3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334A636F"/>
    <w:multiLevelType w:val="multilevel"/>
    <w:tmpl w:val="AAA05FB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357D4582"/>
    <w:multiLevelType w:val="multilevel"/>
    <w:tmpl w:val="940051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62A33A4"/>
    <w:multiLevelType w:val="multilevel"/>
    <w:tmpl w:val="BBD456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3D1C0D25"/>
    <w:multiLevelType w:val="multilevel"/>
    <w:tmpl w:val="E26E2F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8" w15:restartNumberingAfterBreak="0">
    <w:nsid w:val="3F2418FB"/>
    <w:multiLevelType w:val="multilevel"/>
    <w:tmpl w:val="0C0A29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33C2382"/>
    <w:multiLevelType w:val="multilevel"/>
    <w:tmpl w:val="E708D8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4F8E310F"/>
    <w:multiLevelType w:val="multilevel"/>
    <w:tmpl w:val="7B2CB7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05E7C06"/>
    <w:multiLevelType w:val="multilevel"/>
    <w:tmpl w:val="8592D6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1EE5FA6"/>
    <w:multiLevelType w:val="multilevel"/>
    <w:tmpl w:val="36EEA8E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3" w15:restartNumberingAfterBreak="0">
    <w:nsid w:val="59AC63D0"/>
    <w:multiLevelType w:val="hybridMultilevel"/>
    <w:tmpl w:val="01961D3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4" w15:restartNumberingAfterBreak="0">
    <w:nsid w:val="5A00010F"/>
    <w:multiLevelType w:val="multilevel"/>
    <w:tmpl w:val="A72CC1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D2B74A0"/>
    <w:multiLevelType w:val="multilevel"/>
    <w:tmpl w:val="F9CA65CC"/>
    <w:lvl w:ilvl="0">
      <w:start w:val="1"/>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abstractNum w:abstractNumId="26" w15:restartNumberingAfterBreak="0">
    <w:nsid w:val="5D333C26"/>
    <w:multiLevelType w:val="multilevel"/>
    <w:tmpl w:val="9CA4C1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7" w15:restartNumberingAfterBreak="0">
    <w:nsid w:val="64E15E3A"/>
    <w:multiLevelType w:val="multilevel"/>
    <w:tmpl w:val="495A5F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78FC2A94"/>
    <w:multiLevelType w:val="multilevel"/>
    <w:tmpl w:val="3808D5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25"/>
  </w:num>
  <w:num w:numId="7">
    <w:abstractNumId w:val="20"/>
  </w:num>
  <w:num w:numId="8">
    <w:abstractNumId w:val="1"/>
  </w:num>
  <w:num w:numId="9">
    <w:abstractNumId w:val="0"/>
  </w:num>
  <w:num w:numId="10">
    <w:abstractNumId w:val="14"/>
  </w:num>
  <w:num w:numId="11">
    <w:abstractNumId w:val="12"/>
  </w:num>
  <w:num w:numId="12">
    <w:abstractNumId w:val="2"/>
  </w:num>
  <w:num w:numId="13">
    <w:abstractNumId w:val="11"/>
  </w:num>
  <w:num w:numId="14">
    <w:abstractNumId w:val="19"/>
  </w:num>
  <w:num w:numId="15">
    <w:abstractNumId w:val="27"/>
  </w:num>
  <w:num w:numId="16">
    <w:abstractNumId w:val="3"/>
  </w:num>
  <w:num w:numId="17">
    <w:abstractNumId w:val="16"/>
  </w:num>
  <w:num w:numId="18">
    <w:abstractNumId w:val="10"/>
  </w:num>
  <w:num w:numId="19">
    <w:abstractNumId w:val="9"/>
  </w:num>
  <w:num w:numId="20">
    <w:abstractNumId w:val="15"/>
  </w:num>
  <w:num w:numId="21">
    <w:abstractNumId w:val="8"/>
  </w:num>
  <w:num w:numId="22">
    <w:abstractNumId w:val="24"/>
  </w:num>
  <w:num w:numId="23">
    <w:abstractNumId w:val="6"/>
  </w:num>
  <w:num w:numId="24">
    <w:abstractNumId w:val="13"/>
  </w:num>
  <w:num w:numId="25">
    <w:abstractNumId w:val="5"/>
  </w:num>
  <w:num w:numId="26">
    <w:abstractNumId w:val="21"/>
  </w:num>
  <w:num w:numId="27">
    <w:abstractNumId w:val="4"/>
  </w:num>
  <w:num w:numId="28">
    <w:abstractNumId w:val="18"/>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E6D"/>
    <w:rsid w:val="00006E6D"/>
    <w:rsid w:val="0001134A"/>
    <w:rsid w:val="00047CD5"/>
    <w:rsid w:val="00066AD4"/>
    <w:rsid w:val="00083374"/>
    <w:rsid w:val="000F6CB6"/>
    <w:rsid w:val="00121B22"/>
    <w:rsid w:val="00147837"/>
    <w:rsid w:val="00166E3C"/>
    <w:rsid w:val="001B0D06"/>
    <w:rsid w:val="001E7AD4"/>
    <w:rsid w:val="001F219E"/>
    <w:rsid w:val="002313C4"/>
    <w:rsid w:val="00245B30"/>
    <w:rsid w:val="002A3764"/>
    <w:rsid w:val="002C55B6"/>
    <w:rsid w:val="0036265F"/>
    <w:rsid w:val="00435B25"/>
    <w:rsid w:val="00436D36"/>
    <w:rsid w:val="0045114B"/>
    <w:rsid w:val="004D6B44"/>
    <w:rsid w:val="004E718A"/>
    <w:rsid w:val="00581BDE"/>
    <w:rsid w:val="00583041"/>
    <w:rsid w:val="005A38FC"/>
    <w:rsid w:val="005D5DB2"/>
    <w:rsid w:val="00645D84"/>
    <w:rsid w:val="0068363E"/>
    <w:rsid w:val="006C5648"/>
    <w:rsid w:val="00706A14"/>
    <w:rsid w:val="00710775"/>
    <w:rsid w:val="00744532"/>
    <w:rsid w:val="008462A3"/>
    <w:rsid w:val="0085415B"/>
    <w:rsid w:val="00912551"/>
    <w:rsid w:val="009126BF"/>
    <w:rsid w:val="009B54D0"/>
    <w:rsid w:val="009F305B"/>
    <w:rsid w:val="00A32EAB"/>
    <w:rsid w:val="00A410BB"/>
    <w:rsid w:val="00A76041"/>
    <w:rsid w:val="00B1420D"/>
    <w:rsid w:val="00B46998"/>
    <w:rsid w:val="00B71788"/>
    <w:rsid w:val="00BF2165"/>
    <w:rsid w:val="00C754F7"/>
    <w:rsid w:val="00C8671B"/>
    <w:rsid w:val="00C93B49"/>
    <w:rsid w:val="00CE14AF"/>
    <w:rsid w:val="00CF0868"/>
    <w:rsid w:val="00CF340B"/>
    <w:rsid w:val="00DB76CD"/>
    <w:rsid w:val="00DE227F"/>
    <w:rsid w:val="00DE6119"/>
    <w:rsid w:val="00E0459A"/>
    <w:rsid w:val="00EC5CE1"/>
    <w:rsid w:val="00EC7DEE"/>
    <w:rsid w:val="00FB49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EF54A"/>
  <w15:chartTrackingRefBased/>
  <w15:docId w15:val="{237EF2D5-A44F-4913-B195-C42A7C64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16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2165"/>
    <w:rPr>
      <w:color w:val="0000FF"/>
      <w:u w:val="single"/>
    </w:rPr>
  </w:style>
  <w:style w:type="paragraph" w:styleId="NormalWeb">
    <w:name w:val="Normal (Web)"/>
    <w:basedOn w:val="Normal"/>
    <w:uiPriority w:val="99"/>
    <w:unhideWhenUsed/>
    <w:rsid w:val="00BF216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BF2165"/>
    <w:pPr>
      <w:ind w:left="720"/>
      <w:contextualSpacing/>
    </w:pPr>
  </w:style>
  <w:style w:type="paragraph" w:customStyle="1" w:styleId="head">
    <w:name w:val="head"/>
    <w:basedOn w:val="Normal"/>
    <w:rsid w:val="00BF2165"/>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BF216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1">
    <w:name w:val="head1"/>
    <w:basedOn w:val="DefaultParagraphFont"/>
    <w:rsid w:val="001E7AD4"/>
  </w:style>
  <w:style w:type="paragraph" w:styleId="NoSpacing">
    <w:name w:val="No Spacing"/>
    <w:uiPriority w:val="1"/>
    <w:qFormat/>
    <w:rsid w:val="000F6C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7898">
      <w:bodyDiv w:val="1"/>
      <w:marLeft w:val="0"/>
      <w:marRight w:val="0"/>
      <w:marTop w:val="0"/>
      <w:marBottom w:val="0"/>
      <w:divBdr>
        <w:top w:val="none" w:sz="0" w:space="0" w:color="auto"/>
        <w:left w:val="none" w:sz="0" w:space="0" w:color="auto"/>
        <w:bottom w:val="none" w:sz="0" w:space="0" w:color="auto"/>
        <w:right w:val="none" w:sz="0" w:space="0" w:color="auto"/>
      </w:divBdr>
    </w:div>
    <w:div w:id="139806540">
      <w:bodyDiv w:val="1"/>
      <w:marLeft w:val="0"/>
      <w:marRight w:val="0"/>
      <w:marTop w:val="0"/>
      <w:marBottom w:val="0"/>
      <w:divBdr>
        <w:top w:val="none" w:sz="0" w:space="0" w:color="auto"/>
        <w:left w:val="none" w:sz="0" w:space="0" w:color="auto"/>
        <w:bottom w:val="none" w:sz="0" w:space="0" w:color="auto"/>
        <w:right w:val="none" w:sz="0" w:space="0" w:color="auto"/>
      </w:divBdr>
    </w:div>
    <w:div w:id="164829666">
      <w:bodyDiv w:val="1"/>
      <w:marLeft w:val="0"/>
      <w:marRight w:val="0"/>
      <w:marTop w:val="0"/>
      <w:marBottom w:val="0"/>
      <w:divBdr>
        <w:top w:val="none" w:sz="0" w:space="0" w:color="auto"/>
        <w:left w:val="none" w:sz="0" w:space="0" w:color="auto"/>
        <w:bottom w:val="none" w:sz="0" w:space="0" w:color="auto"/>
        <w:right w:val="none" w:sz="0" w:space="0" w:color="auto"/>
      </w:divBdr>
    </w:div>
    <w:div w:id="174346286">
      <w:bodyDiv w:val="1"/>
      <w:marLeft w:val="0"/>
      <w:marRight w:val="0"/>
      <w:marTop w:val="0"/>
      <w:marBottom w:val="0"/>
      <w:divBdr>
        <w:top w:val="none" w:sz="0" w:space="0" w:color="auto"/>
        <w:left w:val="none" w:sz="0" w:space="0" w:color="auto"/>
        <w:bottom w:val="none" w:sz="0" w:space="0" w:color="auto"/>
        <w:right w:val="none" w:sz="0" w:space="0" w:color="auto"/>
      </w:divBdr>
    </w:div>
    <w:div w:id="214238029">
      <w:bodyDiv w:val="1"/>
      <w:marLeft w:val="0"/>
      <w:marRight w:val="0"/>
      <w:marTop w:val="0"/>
      <w:marBottom w:val="0"/>
      <w:divBdr>
        <w:top w:val="none" w:sz="0" w:space="0" w:color="auto"/>
        <w:left w:val="none" w:sz="0" w:space="0" w:color="auto"/>
        <w:bottom w:val="none" w:sz="0" w:space="0" w:color="auto"/>
        <w:right w:val="none" w:sz="0" w:space="0" w:color="auto"/>
      </w:divBdr>
    </w:div>
    <w:div w:id="253173397">
      <w:bodyDiv w:val="1"/>
      <w:marLeft w:val="0"/>
      <w:marRight w:val="0"/>
      <w:marTop w:val="0"/>
      <w:marBottom w:val="0"/>
      <w:divBdr>
        <w:top w:val="none" w:sz="0" w:space="0" w:color="auto"/>
        <w:left w:val="none" w:sz="0" w:space="0" w:color="auto"/>
        <w:bottom w:val="none" w:sz="0" w:space="0" w:color="auto"/>
        <w:right w:val="none" w:sz="0" w:space="0" w:color="auto"/>
      </w:divBdr>
    </w:div>
    <w:div w:id="281427548">
      <w:bodyDiv w:val="1"/>
      <w:marLeft w:val="0"/>
      <w:marRight w:val="0"/>
      <w:marTop w:val="0"/>
      <w:marBottom w:val="0"/>
      <w:divBdr>
        <w:top w:val="none" w:sz="0" w:space="0" w:color="auto"/>
        <w:left w:val="none" w:sz="0" w:space="0" w:color="auto"/>
        <w:bottom w:val="none" w:sz="0" w:space="0" w:color="auto"/>
        <w:right w:val="none" w:sz="0" w:space="0" w:color="auto"/>
      </w:divBdr>
    </w:div>
    <w:div w:id="290094693">
      <w:bodyDiv w:val="1"/>
      <w:marLeft w:val="0"/>
      <w:marRight w:val="0"/>
      <w:marTop w:val="0"/>
      <w:marBottom w:val="0"/>
      <w:divBdr>
        <w:top w:val="none" w:sz="0" w:space="0" w:color="auto"/>
        <w:left w:val="none" w:sz="0" w:space="0" w:color="auto"/>
        <w:bottom w:val="none" w:sz="0" w:space="0" w:color="auto"/>
        <w:right w:val="none" w:sz="0" w:space="0" w:color="auto"/>
      </w:divBdr>
    </w:div>
    <w:div w:id="334571405">
      <w:bodyDiv w:val="1"/>
      <w:marLeft w:val="0"/>
      <w:marRight w:val="0"/>
      <w:marTop w:val="0"/>
      <w:marBottom w:val="0"/>
      <w:divBdr>
        <w:top w:val="none" w:sz="0" w:space="0" w:color="auto"/>
        <w:left w:val="none" w:sz="0" w:space="0" w:color="auto"/>
        <w:bottom w:val="none" w:sz="0" w:space="0" w:color="auto"/>
        <w:right w:val="none" w:sz="0" w:space="0" w:color="auto"/>
      </w:divBdr>
    </w:div>
    <w:div w:id="337461665">
      <w:bodyDiv w:val="1"/>
      <w:marLeft w:val="0"/>
      <w:marRight w:val="0"/>
      <w:marTop w:val="0"/>
      <w:marBottom w:val="0"/>
      <w:divBdr>
        <w:top w:val="none" w:sz="0" w:space="0" w:color="auto"/>
        <w:left w:val="none" w:sz="0" w:space="0" w:color="auto"/>
        <w:bottom w:val="none" w:sz="0" w:space="0" w:color="auto"/>
        <w:right w:val="none" w:sz="0" w:space="0" w:color="auto"/>
      </w:divBdr>
    </w:div>
    <w:div w:id="339429337">
      <w:bodyDiv w:val="1"/>
      <w:marLeft w:val="0"/>
      <w:marRight w:val="0"/>
      <w:marTop w:val="0"/>
      <w:marBottom w:val="0"/>
      <w:divBdr>
        <w:top w:val="none" w:sz="0" w:space="0" w:color="auto"/>
        <w:left w:val="none" w:sz="0" w:space="0" w:color="auto"/>
        <w:bottom w:val="none" w:sz="0" w:space="0" w:color="auto"/>
        <w:right w:val="none" w:sz="0" w:space="0" w:color="auto"/>
      </w:divBdr>
    </w:div>
    <w:div w:id="354187200">
      <w:bodyDiv w:val="1"/>
      <w:marLeft w:val="0"/>
      <w:marRight w:val="0"/>
      <w:marTop w:val="0"/>
      <w:marBottom w:val="0"/>
      <w:divBdr>
        <w:top w:val="none" w:sz="0" w:space="0" w:color="auto"/>
        <w:left w:val="none" w:sz="0" w:space="0" w:color="auto"/>
        <w:bottom w:val="none" w:sz="0" w:space="0" w:color="auto"/>
        <w:right w:val="none" w:sz="0" w:space="0" w:color="auto"/>
      </w:divBdr>
    </w:div>
    <w:div w:id="502595600">
      <w:bodyDiv w:val="1"/>
      <w:marLeft w:val="0"/>
      <w:marRight w:val="0"/>
      <w:marTop w:val="0"/>
      <w:marBottom w:val="0"/>
      <w:divBdr>
        <w:top w:val="none" w:sz="0" w:space="0" w:color="auto"/>
        <w:left w:val="none" w:sz="0" w:space="0" w:color="auto"/>
        <w:bottom w:val="none" w:sz="0" w:space="0" w:color="auto"/>
        <w:right w:val="none" w:sz="0" w:space="0" w:color="auto"/>
      </w:divBdr>
    </w:div>
    <w:div w:id="504511713">
      <w:bodyDiv w:val="1"/>
      <w:marLeft w:val="0"/>
      <w:marRight w:val="0"/>
      <w:marTop w:val="0"/>
      <w:marBottom w:val="0"/>
      <w:divBdr>
        <w:top w:val="none" w:sz="0" w:space="0" w:color="auto"/>
        <w:left w:val="none" w:sz="0" w:space="0" w:color="auto"/>
        <w:bottom w:val="none" w:sz="0" w:space="0" w:color="auto"/>
        <w:right w:val="none" w:sz="0" w:space="0" w:color="auto"/>
      </w:divBdr>
    </w:div>
    <w:div w:id="514805698">
      <w:bodyDiv w:val="1"/>
      <w:marLeft w:val="0"/>
      <w:marRight w:val="0"/>
      <w:marTop w:val="0"/>
      <w:marBottom w:val="0"/>
      <w:divBdr>
        <w:top w:val="none" w:sz="0" w:space="0" w:color="auto"/>
        <w:left w:val="none" w:sz="0" w:space="0" w:color="auto"/>
        <w:bottom w:val="none" w:sz="0" w:space="0" w:color="auto"/>
        <w:right w:val="none" w:sz="0" w:space="0" w:color="auto"/>
      </w:divBdr>
    </w:div>
    <w:div w:id="534197464">
      <w:bodyDiv w:val="1"/>
      <w:marLeft w:val="0"/>
      <w:marRight w:val="0"/>
      <w:marTop w:val="0"/>
      <w:marBottom w:val="0"/>
      <w:divBdr>
        <w:top w:val="none" w:sz="0" w:space="0" w:color="auto"/>
        <w:left w:val="none" w:sz="0" w:space="0" w:color="auto"/>
        <w:bottom w:val="none" w:sz="0" w:space="0" w:color="auto"/>
        <w:right w:val="none" w:sz="0" w:space="0" w:color="auto"/>
      </w:divBdr>
    </w:div>
    <w:div w:id="556473836">
      <w:bodyDiv w:val="1"/>
      <w:marLeft w:val="0"/>
      <w:marRight w:val="0"/>
      <w:marTop w:val="0"/>
      <w:marBottom w:val="0"/>
      <w:divBdr>
        <w:top w:val="none" w:sz="0" w:space="0" w:color="auto"/>
        <w:left w:val="none" w:sz="0" w:space="0" w:color="auto"/>
        <w:bottom w:val="none" w:sz="0" w:space="0" w:color="auto"/>
        <w:right w:val="none" w:sz="0" w:space="0" w:color="auto"/>
      </w:divBdr>
    </w:div>
    <w:div w:id="565918927">
      <w:bodyDiv w:val="1"/>
      <w:marLeft w:val="0"/>
      <w:marRight w:val="0"/>
      <w:marTop w:val="0"/>
      <w:marBottom w:val="0"/>
      <w:divBdr>
        <w:top w:val="none" w:sz="0" w:space="0" w:color="auto"/>
        <w:left w:val="none" w:sz="0" w:space="0" w:color="auto"/>
        <w:bottom w:val="none" w:sz="0" w:space="0" w:color="auto"/>
        <w:right w:val="none" w:sz="0" w:space="0" w:color="auto"/>
      </w:divBdr>
    </w:div>
    <w:div w:id="631910607">
      <w:bodyDiv w:val="1"/>
      <w:marLeft w:val="0"/>
      <w:marRight w:val="0"/>
      <w:marTop w:val="0"/>
      <w:marBottom w:val="0"/>
      <w:divBdr>
        <w:top w:val="none" w:sz="0" w:space="0" w:color="auto"/>
        <w:left w:val="none" w:sz="0" w:space="0" w:color="auto"/>
        <w:bottom w:val="none" w:sz="0" w:space="0" w:color="auto"/>
        <w:right w:val="none" w:sz="0" w:space="0" w:color="auto"/>
      </w:divBdr>
    </w:div>
    <w:div w:id="632172511">
      <w:bodyDiv w:val="1"/>
      <w:marLeft w:val="0"/>
      <w:marRight w:val="0"/>
      <w:marTop w:val="0"/>
      <w:marBottom w:val="0"/>
      <w:divBdr>
        <w:top w:val="none" w:sz="0" w:space="0" w:color="auto"/>
        <w:left w:val="none" w:sz="0" w:space="0" w:color="auto"/>
        <w:bottom w:val="none" w:sz="0" w:space="0" w:color="auto"/>
        <w:right w:val="none" w:sz="0" w:space="0" w:color="auto"/>
      </w:divBdr>
    </w:div>
    <w:div w:id="638805484">
      <w:bodyDiv w:val="1"/>
      <w:marLeft w:val="0"/>
      <w:marRight w:val="0"/>
      <w:marTop w:val="0"/>
      <w:marBottom w:val="0"/>
      <w:divBdr>
        <w:top w:val="none" w:sz="0" w:space="0" w:color="auto"/>
        <w:left w:val="none" w:sz="0" w:space="0" w:color="auto"/>
        <w:bottom w:val="none" w:sz="0" w:space="0" w:color="auto"/>
        <w:right w:val="none" w:sz="0" w:space="0" w:color="auto"/>
      </w:divBdr>
    </w:div>
    <w:div w:id="639575624">
      <w:bodyDiv w:val="1"/>
      <w:marLeft w:val="0"/>
      <w:marRight w:val="0"/>
      <w:marTop w:val="0"/>
      <w:marBottom w:val="0"/>
      <w:divBdr>
        <w:top w:val="none" w:sz="0" w:space="0" w:color="auto"/>
        <w:left w:val="none" w:sz="0" w:space="0" w:color="auto"/>
        <w:bottom w:val="none" w:sz="0" w:space="0" w:color="auto"/>
        <w:right w:val="none" w:sz="0" w:space="0" w:color="auto"/>
      </w:divBdr>
    </w:div>
    <w:div w:id="661544658">
      <w:bodyDiv w:val="1"/>
      <w:marLeft w:val="0"/>
      <w:marRight w:val="0"/>
      <w:marTop w:val="0"/>
      <w:marBottom w:val="0"/>
      <w:divBdr>
        <w:top w:val="none" w:sz="0" w:space="0" w:color="auto"/>
        <w:left w:val="none" w:sz="0" w:space="0" w:color="auto"/>
        <w:bottom w:val="none" w:sz="0" w:space="0" w:color="auto"/>
        <w:right w:val="none" w:sz="0" w:space="0" w:color="auto"/>
      </w:divBdr>
    </w:div>
    <w:div w:id="674184569">
      <w:bodyDiv w:val="1"/>
      <w:marLeft w:val="0"/>
      <w:marRight w:val="0"/>
      <w:marTop w:val="0"/>
      <w:marBottom w:val="0"/>
      <w:divBdr>
        <w:top w:val="none" w:sz="0" w:space="0" w:color="auto"/>
        <w:left w:val="none" w:sz="0" w:space="0" w:color="auto"/>
        <w:bottom w:val="none" w:sz="0" w:space="0" w:color="auto"/>
        <w:right w:val="none" w:sz="0" w:space="0" w:color="auto"/>
      </w:divBdr>
    </w:div>
    <w:div w:id="697195265">
      <w:bodyDiv w:val="1"/>
      <w:marLeft w:val="0"/>
      <w:marRight w:val="0"/>
      <w:marTop w:val="0"/>
      <w:marBottom w:val="0"/>
      <w:divBdr>
        <w:top w:val="none" w:sz="0" w:space="0" w:color="auto"/>
        <w:left w:val="none" w:sz="0" w:space="0" w:color="auto"/>
        <w:bottom w:val="none" w:sz="0" w:space="0" w:color="auto"/>
        <w:right w:val="none" w:sz="0" w:space="0" w:color="auto"/>
      </w:divBdr>
    </w:div>
    <w:div w:id="713121895">
      <w:bodyDiv w:val="1"/>
      <w:marLeft w:val="0"/>
      <w:marRight w:val="0"/>
      <w:marTop w:val="0"/>
      <w:marBottom w:val="0"/>
      <w:divBdr>
        <w:top w:val="none" w:sz="0" w:space="0" w:color="auto"/>
        <w:left w:val="none" w:sz="0" w:space="0" w:color="auto"/>
        <w:bottom w:val="none" w:sz="0" w:space="0" w:color="auto"/>
        <w:right w:val="none" w:sz="0" w:space="0" w:color="auto"/>
      </w:divBdr>
    </w:div>
    <w:div w:id="715006577">
      <w:bodyDiv w:val="1"/>
      <w:marLeft w:val="0"/>
      <w:marRight w:val="0"/>
      <w:marTop w:val="0"/>
      <w:marBottom w:val="0"/>
      <w:divBdr>
        <w:top w:val="none" w:sz="0" w:space="0" w:color="auto"/>
        <w:left w:val="none" w:sz="0" w:space="0" w:color="auto"/>
        <w:bottom w:val="none" w:sz="0" w:space="0" w:color="auto"/>
        <w:right w:val="none" w:sz="0" w:space="0" w:color="auto"/>
      </w:divBdr>
    </w:div>
    <w:div w:id="753631214">
      <w:bodyDiv w:val="1"/>
      <w:marLeft w:val="0"/>
      <w:marRight w:val="0"/>
      <w:marTop w:val="0"/>
      <w:marBottom w:val="0"/>
      <w:divBdr>
        <w:top w:val="none" w:sz="0" w:space="0" w:color="auto"/>
        <w:left w:val="none" w:sz="0" w:space="0" w:color="auto"/>
        <w:bottom w:val="none" w:sz="0" w:space="0" w:color="auto"/>
        <w:right w:val="none" w:sz="0" w:space="0" w:color="auto"/>
      </w:divBdr>
    </w:div>
    <w:div w:id="761729238">
      <w:bodyDiv w:val="1"/>
      <w:marLeft w:val="0"/>
      <w:marRight w:val="0"/>
      <w:marTop w:val="0"/>
      <w:marBottom w:val="0"/>
      <w:divBdr>
        <w:top w:val="none" w:sz="0" w:space="0" w:color="auto"/>
        <w:left w:val="none" w:sz="0" w:space="0" w:color="auto"/>
        <w:bottom w:val="none" w:sz="0" w:space="0" w:color="auto"/>
        <w:right w:val="none" w:sz="0" w:space="0" w:color="auto"/>
      </w:divBdr>
    </w:div>
    <w:div w:id="765225938">
      <w:bodyDiv w:val="1"/>
      <w:marLeft w:val="0"/>
      <w:marRight w:val="0"/>
      <w:marTop w:val="0"/>
      <w:marBottom w:val="0"/>
      <w:divBdr>
        <w:top w:val="none" w:sz="0" w:space="0" w:color="auto"/>
        <w:left w:val="none" w:sz="0" w:space="0" w:color="auto"/>
        <w:bottom w:val="none" w:sz="0" w:space="0" w:color="auto"/>
        <w:right w:val="none" w:sz="0" w:space="0" w:color="auto"/>
      </w:divBdr>
    </w:div>
    <w:div w:id="787315246">
      <w:bodyDiv w:val="1"/>
      <w:marLeft w:val="0"/>
      <w:marRight w:val="0"/>
      <w:marTop w:val="0"/>
      <w:marBottom w:val="0"/>
      <w:divBdr>
        <w:top w:val="none" w:sz="0" w:space="0" w:color="auto"/>
        <w:left w:val="none" w:sz="0" w:space="0" w:color="auto"/>
        <w:bottom w:val="none" w:sz="0" w:space="0" w:color="auto"/>
        <w:right w:val="none" w:sz="0" w:space="0" w:color="auto"/>
      </w:divBdr>
    </w:div>
    <w:div w:id="837354668">
      <w:bodyDiv w:val="1"/>
      <w:marLeft w:val="0"/>
      <w:marRight w:val="0"/>
      <w:marTop w:val="0"/>
      <w:marBottom w:val="0"/>
      <w:divBdr>
        <w:top w:val="none" w:sz="0" w:space="0" w:color="auto"/>
        <w:left w:val="none" w:sz="0" w:space="0" w:color="auto"/>
        <w:bottom w:val="none" w:sz="0" w:space="0" w:color="auto"/>
        <w:right w:val="none" w:sz="0" w:space="0" w:color="auto"/>
      </w:divBdr>
    </w:div>
    <w:div w:id="837695543">
      <w:bodyDiv w:val="1"/>
      <w:marLeft w:val="0"/>
      <w:marRight w:val="0"/>
      <w:marTop w:val="0"/>
      <w:marBottom w:val="0"/>
      <w:divBdr>
        <w:top w:val="none" w:sz="0" w:space="0" w:color="auto"/>
        <w:left w:val="none" w:sz="0" w:space="0" w:color="auto"/>
        <w:bottom w:val="none" w:sz="0" w:space="0" w:color="auto"/>
        <w:right w:val="none" w:sz="0" w:space="0" w:color="auto"/>
      </w:divBdr>
    </w:div>
    <w:div w:id="849488530">
      <w:bodyDiv w:val="1"/>
      <w:marLeft w:val="0"/>
      <w:marRight w:val="0"/>
      <w:marTop w:val="0"/>
      <w:marBottom w:val="0"/>
      <w:divBdr>
        <w:top w:val="none" w:sz="0" w:space="0" w:color="auto"/>
        <w:left w:val="none" w:sz="0" w:space="0" w:color="auto"/>
        <w:bottom w:val="none" w:sz="0" w:space="0" w:color="auto"/>
        <w:right w:val="none" w:sz="0" w:space="0" w:color="auto"/>
      </w:divBdr>
    </w:div>
    <w:div w:id="861363455">
      <w:bodyDiv w:val="1"/>
      <w:marLeft w:val="0"/>
      <w:marRight w:val="0"/>
      <w:marTop w:val="0"/>
      <w:marBottom w:val="0"/>
      <w:divBdr>
        <w:top w:val="none" w:sz="0" w:space="0" w:color="auto"/>
        <w:left w:val="none" w:sz="0" w:space="0" w:color="auto"/>
        <w:bottom w:val="none" w:sz="0" w:space="0" w:color="auto"/>
        <w:right w:val="none" w:sz="0" w:space="0" w:color="auto"/>
      </w:divBdr>
    </w:div>
    <w:div w:id="886986807">
      <w:bodyDiv w:val="1"/>
      <w:marLeft w:val="0"/>
      <w:marRight w:val="0"/>
      <w:marTop w:val="0"/>
      <w:marBottom w:val="0"/>
      <w:divBdr>
        <w:top w:val="none" w:sz="0" w:space="0" w:color="auto"/>
        <w:left w:val="none" w:sz="0" w:space="0" w:color="auto"/>
        <w:bottom w:val="none" w:sz="0" w:space="0" w:color="auto"/>
        <w:right w:val="none" w:sz="0" w:space="0" w:color="auto"/>
      </w:divBdr>
    </w:div>
    <w:div w:id="896934191">
      <w:bodyDiv w:val="1"/>
      <w:marLeft w:val="0"/>
      <w:marRight w:val="0"/>
      <w:marTop w:val="0"/>
      <w:marBottom w:val="0"/>
      <w:divBdr>
        <w:top w:val="none" w:sz="0" w:space="0" w:color="auto"/>
        <w:left w:val="none" w:sz="0" w:space="0" w:color="auto"/>
        <w:bottom w:val="none" w:sz="0" w:space="0" w:color="auto"/>
        <w:right w:val="none" w:sz="0" w:space="0" w:color="auto"/>
      </w:divBdr>
    </w:div>
    <w:div w:id="907883410">
      <w:bodyDiv w:val="1"/>
      <w:marLeft w:val="0"/>
      <w:marRight w:val="0"/>
      <w:marTop w:val="0"/>
      <w:marBottom w:val="0"/>
      <w:divBdr>
        <w:top w:val="none" w:sz="0" w:space="0" w:color="auto"/>
        <w:left w:val="none" w:sz="0" w:space="0" w:color="auto"/>
        <w:bottom w:val="none" w:sz="0" w:space="0" w:color="auto"/>
        <w:right w:val="none" w:sz="0" w:space="0" w:color="auto"/>
      </w:divBdr>
      <w:divsChild>
        <w:div w:id="1363632254">
          <w:marLeft w:val="150"/>
          <w:marRight w:val="0"/>
          <w:marTop w:val="0"/>
          <w:marBottom w:val="0"/>
          <w:divBdr>
            <w:top w:val="none" w:sz="0" w:space="0" w:color="auto"/>
            <w:left w:val="none" w:sz="0" w:space="0" w:color="auto"/>
            <w:bottom w:val="none" w:sz="0" w:space="0" w:color="auto"/>
            <w:right w:val="single" w:sz="6" w:space="8" w:color="0469A3"/>
          </w:divBdr>
          <w:divsChild>
            <w:div w:id="1719012538">
              <w:marLeft w:val="0"/>
              <w:marRight w:val="0"/>
              <w:marTop w:val="0"/>
              <w:marBottom w:val="0"/>
              <w:divBdr>
                <w:top w:val="none" w:sz="0" w:space="0" w:color="auto"/>
                <w:left w:val="none" w:sz="0" w:space="0" w:color="auto"/>
                <w:bottom w:val="none" w:sz="0" w:space="0" w:color="auto"/>
                <w:right w:val="none" w:sz="0" w:space="0" w:color="auto"/>
              </w:divBdr>
              <w:divsChild>
                <w:div w:id="13684897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37058060">
      <w:bodyDiv w:val="1"/>
      <w:marLeft w:val="0"/>
      <w:marRight w:val="0"/>
      <w:marTop w:val="0"/>
      <w:marBottom w:val="0"/>
      <w:divBdr>
        <w:top w:val="none" w:sz="0" w:space="0" w:color="auto"/>
        <w:left w:val="none" w:sz="0" w:space="0" w:color="auto"/>
        <w:bottom w:val="none" w:sz="0" w:space="0" w:color="auto"/>
        <w:right w:val="none" w:sz="0" w:space="0" w:color="auto"/>
      </w:divBdr>
    </w:div>
    <w:div w:id="996490989">
      <w:bodyDiv w:val="1"/>
      <w:marLeft w:val="0"/>
      <w:marRight w:val="0"/>
      <w:marTop w:val="0"/>
      <w:marBottom w:val="0"/>
      <w:divBdr>
        <w:top w:val="none" w:sz="0" w:space="0" w:color="auto"/>
        <w:left w:val="none" w:sz="0" w:space="0" w:color="auto"/>
        <w:bottom w:val="none" w:sz="0" w:space="0" w:color="auto"/>
        <w:right w:val="none" w:sz="0" w:space="0" w:color="auto"/>
      </w:divBdr>
    </w:div>
    <w:div w:id="998270122">
      <w:bodyDiv w:val="1"/>
      <w:marLeft w:val="0"/>
      <w:marRight w:val="0"/>
      <w:marTop w:val="0"/>
      <w:marBottom w:val="0"/>
      <w:divBdr>
        <w:top w:val="none" w:sz="0" w:space="0" w:color="auto"/>
        <w:left w:val="none" w:sz="0" w:space="0" w:color="auto"/>
        <w:bottom w:val="none" w:sz="0" w:space="0" w:color="auto"/>
        <w:right w:val="none" w:sz="0" w:space="0" w:color="auto"/>
      </w:divBdr>
    </w:div>
    <w:div w:id="1006128647">
      <w:bodyDiv w:val="1"/>
      <w:marLeft w:val="0"/>
      <w:marRight w:val="0"/>
      <w:marTop w:val="0"/>
      <w:marBottom w:val="0"/>
      <w:divBdr>
        <w:top w:val="none" w:sz="0" w:space="0" w:color="auto"/>
        <w:left w:val="none" w:sz="0" w:space="0" w:color="auto"/>
        <w:bottom w:val="none" w:sz="0" w:space="0" w:color="auto"/>
        <w:right w:val="none" w:sz="0" w:space="0" w:color="auto"/>
      </w:divBdr>
    </w:div>
    <w:div w:id="1115447844">
      <w:bodyDiv w:val="1"/>
      <w:marLeft w:val="0"/>
      <w:marRight w:val="0"/>
      <w:marTop w:val="0"/>
      <w:marBottom w:val="0"/>
      <w:divBdr>
        <w:top w:val="none" w:sz="0" w:space="0" w:color="auto"/>
        <w:left w:val="none" w:sz="0" w:space="0" w:color="auto"/>
        <w:bottom w:val="none" w:sz="0" w:space="0" w:color="auto"/>
        <w:right w:val="none" w:sz="0" w:space="0" w:color="auto"/>
      </w:divBdr>
    </w:div>
    <w:div w:id="1131240538">
      <w:bodyDiv w:val="1"/>
      <w:marLeft w:val="0"/>
      <w:marRight w:val="0"/>
      <w:marTop w:val="0"/>
      <w:marBottom w:val="0"/>
      <w:divBdr>
        <w:top w:val="none" w:sz="0" w:space="0" w:color="auto"/>
        <w:left w:val="none" w:sz="0" w:space="0" w:color="auto"/>
        <w:bottom w:val="none" w:sz="0" w:space="0" w:color="auto"/>
        <w:right w:val="none" w:sz="0" w:space="0" w:color="auto"/>
      </w:divBdr>
    </w:div>
    <w:div w:id="1203251407">
      <w:bodyDiv w:val="1"/>
      <w:marLeft w:val="0"/>
      <w:marRight w:val="0"/>
      <w:marTop w:val="0"/>
      <w:marBottom w:val="0"/>
      <w:divBdr>
        <w:top w:val="none" w:sz="0" w:space="0" w:color="auto"/>
        <w:left w:val="none" w:sz="0" w:space="0" w:color="auto"/>
        <w:bottom w:val="none" w:sz="0" w:space="0" w:color="auto"/>
        <w:right w:val="none" w:sz="0" w:space="0" w:color="auto"/>
      </w:divBdr>
      <w:divsChild>
        <w:div w:id="1267738942">
          <w:blockQuote w:val="1"/>
          <w:marLeft w:val="600"/>
          <w:marRight w:val="600"/>
          <w:marTop w:val="240"/>
          <w:marBottom w:val="240"/>
          <w:divBdr>
            <w:top w:val="none" w:sz="0" w:space="0" w:color="auto"/>
            <w:left w:val="none" w:sz="0" w:space="0" w:color="auto"/>
            <w:bottom w:val="none" w:sz="0" w:space="0" w:color="auto"/>
            <w:right w:val="none" w:sz="0" w:space="0" w:color="auto"/>
          </w:divBdr>
        </w:div>
        <w:div w:id="190608653">
          <w:blockQuote w:val="1"/>
          <w:marLeft w:val="600"/>
          <w:marRight w:val="600"/>
          <w:marTop w:val="240"/>
          <w:marBottom w:val="240"/>
          <w:divBdr>
            <w:top w:val="none" w:sz="0" w:space="0" w:color="auto"/>
            <w:left w:val="none" w:sz="0" w:space="0" w:color="auto"/>
            <w:bottom w:val="none" w:sz="0" w:space="0" w:color="auto"/>
            <w:right w:val="none" w:sz="0" w:space="0" w:color="auto"/>
          </w:divBdr>
        </w:div>
        <w:div w:id="22558888">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221555026">
      <w:bodyDiv w:val="1"/>
      <w:marLeft w:val="0"/>
      <w:marRight w:val="0"/>
      <w:marTop w:val="0"/>
      <w:marBottom w:val="0"/>
      <w:divBdr>
        <w:top w:val="none" w:sz="0" w:space="0" w:color="auto"/>
        <w:left w:val="none" w:sz="0" w:space="0" w:color="auto"/>
        <w:bottom w:val="none" w:sz="0" w:space="0" w:color="auto"/>
        <w:right w:val="none" w:sz="0" w:space="0" w:color="auto"/>
      </w:divBdr>
    </w:div>
    <w:div w:id="1241528069">
      <w:bodyDiv w:val="1"/>
      <w:marLeft w:val="0"/>
      <w:marRight w:val="0"/>
      <w:marTop w:val="0"/>
      <w:marBottom w:val="0"/>
      <w:divBdr>
        <w:top w:val="none" w:sz="0" w:space="0" w:color="auto"/>
        <w:left w:val="none" w:sz="0" w:space="0" w:color="auto"/>
        <w:bottom w:val="none" w:sz="0" w:space="0" w:color="auto"/>
        <w:right w:val="none" w:sz="0" w:space="0" w:color="auto"/>
      </w:divBdr>
    </w:div>
    <w:div w:id="1242064224">
      <w:bodyDiv w:val="1"/>
      <w:marLeft w:val="0"/>
      <w:marRight w:val="0"/>
      <w:marTop w:val="0"/>
      <w:marBottom w:val="0"/>
      <w:divBdr>
        <w:top w:val="none" w:sz="0" w:space="0" w:color="auto"/>
        <w:left w:val="none" w:sz="0" w:space="0" w:color="auto"/>
        <w:bottom w:val="none" w:sz="0" w:space="0" w:color="auto"/>
        <w:right w:val="none" w:sz="0" w:space="0" w:color="auto"/>
      </w:divBdr>
    </w:div>
    <w:div w:id="1246692539">
      <w:bodyDiv w:val="1"/>
      <w:marLeft w:val="0"/>
      <w:marRight w:val="0"/>
      <w:marTop w:val="0"/>
      <w:marBottom w:val="0"/>
      <w:divBdr>
        <w:top w:val="none" w:sz="0" w:space="0" w:color="auto"/>
        <w:left w:val="none" w:sz="0" w:space="0" w:color="auto"/>
        <w:bottom w:val="none" w:sz="0" w:space="0" w:color="auto"/>
        <w:right w:val="none" w:sz="0" w:space="0" w:color="auto"/>
      </w:divBdr>
    </w:div>
    <w:div w:id="1257403921">
      <w:bodyDiv w:val="1"/>
      <w:marLeft w:val="0"/>
      <w:marRight w:val="0"/>
      <w:marTop w:val="0"/>
      <w:marBottom w:val="0"/>
      <w:divBdr>
        <w:top w:val="none" w:sz="0" w:space="0" w:color="auto"/>
        <w:left w:val="none" w:sz="0" w:space="0" w:color="auto"/>
        <w:bottom w:val="none" w:sz="0" w:space="0" w:color="auto"/>
        <w:right w:val="none" w:sz="0" w:space="0" w:color="auto"/>
      </w:divBdr>
    </w:div>
    <w:div w:id="1274552967">
      <w:bodyDiv w:val="1"/>
      <w:marLeft w:val="0"/>
      <w:marRight w:val="0"/>
      <w:marTop w:val="0"/>
      <w:marBottom w:val="0"/>
      <w:divBdr>
        <w:top w:val="none" w:sz="0" w:space="0" w:color="auto"/>
        <w:left w:val="none" w:sz="0" w:space="0" w:color="auto"/>
        <w:bottom w:val="none" w:sz="0" w:space="0" w:color="auto"/>
        <w:right w:val="none" w:sz="0" w:space="0" w:color="auto"/>
      </w:divBdr>
    </w:div>
    <w:div w:id="1295525294">
      <w:bodyDiv w:val="1"/>
      <w:marLeft w:val="0"/>
      <w:marRight w:val="0"/>
      <w:marTop w:val="0"/>
      <w:marBottom w:val="0"/>
      <w:divBdr>
        <w:top w:val="none" w:sz="0" w:space="0" w:color="auto"/>
        <w:left w:val="none" w:sz="0" w:space="0" w:color="auto"/>
        <w:bottom w:val="none" w:sz="0" w:space="0" w:color="auto"/>
        <w:right w:val="none" w:sz="0" w:space="0" w:color="auto"/>
      </w:divBdr>
    </w:div>
    <w:div w:id="1343895939">
      <w:bodyDiv w:val="1"/>
      <w:marLeft w:val="0"/>
      <w:marRight w:val="0"/>
      <w:marTop w:val="0"/>
      <w:marBottom w:val="0"/>
      <w:divBdr>
        <w:top w:val="none" w:sz="0" w:space="0" w:color="auto"/>
        <w:left w:val="none" w:sz="0" w:space="0" w:color="auto"/>
        <w:bottom w:val="none" w:sz="0" w:space="0" w:color="auto"/>
        <w:right w:val="none" w:sz="0" w:space="0" w:color="auto"/>
      </w:divBdr>
    </w:div>
    <w:div w:id="1367756360">
      <w:bodyDiv w:val="1"/>
      <w:marLeft w:val="0"/>
      <w:marRight w:val="0"/>
      <w:marTop w:val="0"/>
      <w:marBottom w:val="0"/>
      <w:divBdr>
        <w:top w:val="none" w:sz="0" w:space="0" w:color="auto"/>
        <w:left w:val="none" w:sz="0" w:space="0" w:color="auto"/>
        <w:bottom w:val="none" w:sz="0" w:space="0" w:color="auto"/>
        <w:right w:val="none" w:sz="0" w:space="0" w:color="auto"/>
      </w:divBdr>
    </w:div>
    <w:div w:id="1392465824">
      <w:bodyDiv w:val="1"/>
      <w:marLeft w:val="0"/>
      <w:marRight w:val="0"/>
      <w:marTop w:val="0"/>
      <w:marBottom w:val="0"/>
      <w:divBdr>
        <w:top w:val="none" w:sz="0" w:space="0" w:color="auto"/>
        <w:left w:val="none" w:sz="0" w:space="0" w:color="auto"/>
        <w:bottom w:val="none" w:sz="0" w:space="0" w:color="auto"/>
        <w:right w:val="none" w:sz="0" w:space="0" w:color="auto"/>
      </w:divBdr>
    </w:div>
    <w:div w:id="1396977849">
      <w:bodyDiv w:val="1"/>
      <w:marLeft w:val="0"/>
      <w:marRight w:val="0"/>
      <w:marTop w:val="0"/>
      <w:marBottom w:val="0"/>
      <w:divBdr>
        <w:top w:val="none" w:sz="0" w:space="0" w:color="auto"/>
        <w:left w:val="none" w:sz="0" w:space="0" w:color="auto"/>
        <w:bottom w:val="none" w:sz="0" w:space="0" w:color="auto"/>
        <w:right w:val="none" w:sz="0" w:space="0" w:color="auto"/>
      </w:divBdr>
    </w:div>
    <w:div w:id="1410271608">
      <w:bodyDiv w:val="1"/>
      <w:marLeft w:val="0"/>
      <w:marRight w:val="0"/>
      <w:marTop w:val="0"/>
      <w:marBottom w:val="0"/>
      <w:divBdr>
        <w:top w:val="none" w:sz="0" w:space="0" w:color="auto"/>
        <w:left w:val="none" w:sz="0" w:space="0" w:color="auto"/>
        <w:bottom w:val="none" w:sz="0" w:space="0" w:color="auto"/>
        <w:right w:val="none" w:sz="0" w:space="0" w:color="auto"/>
      </w:divBdr>
    </w:div>
    <w:div w:id="1415123669">
      <w:bodyDiv w:val="1"/>
      <w:marLeft w:val="0"/>
      <w:marRight w:val="0"/>
      <w:marTop w:val="0"/>
      <w:marBottom w:val="0"/>
      <w:divBdr>
        <w:top w:val="none" w:sz="0" w:space="0" w:color="auto"/>
        <w:left w:val="none" w:sz="0" w:space="0" w:color="auto"/>
        <w:bottom w:val="none" w:sz="0" w:space="0" w:color="auto"/>
        <w:right w:val="none" w:sz="0" w:space="0" w:color="auto"/>
      </w:divBdr>
    </w:div>
    <w:div w:id="1445729301">
      <w:bodyDiv w:val="1"/>
      <w:marLeft w:val="0"/>
      <w:marRight w:val="0"/>
      <w:marTop w:val="0"/>
      <w:marBottom w:val="0"/>
      <w:divBdr>
        <w:top w:val="none" w:sz="0" w:space="0" w:color="auto"/>
        <w:left w:val="none" w:sz="0" w:space="0" w:color="auto"/>
        <w:bottom w:val="none" w:sz="0" w:space="0" w:color="auto"/>
        <w:right w:val="none" w:sz="0" w:space="0" w:color="auto"/>
      </w:divBdr>
    </w:div>
    <w:div w:id="1453595038">
      <w:bodyDiv w:val="1"/>
      <w:marLeft w:val="0"/>
      <w:marRight w:val="0"/>
      <w:marTop w:val="0"/>
      <w:marBottom w:val="0"/>
      <w:divBdr>
        <w:top w:val="none" w:sz="0" w:space="0" w:color="auto"/>
        <w:left w:val="none" w:sz="0" w:space="0" w:color="auto"/>
        <w:bottom w:val="none" w:sz="0" w:space="0" w:color="auto"/>
        <w:right w:val="none" w:sz="0" w:space="0" w:color="auto"/>
      </w:divBdr>
    </w:div>
    <w:div w:id="1470781014">
      <w:bodyDiv w:val="1"/>
      <w:marLeft w:val="0"/>
      <w:marRight w:val="0"/>
      <w:marTop w:val="0"/>
      <w:marBottom w:val="0"/>
      <w:divBdr>
        <w:top w:val="none" w:sz="0" w:space="0" w:color="auto"/>
        <w:left w:val="none" w:sz="0" w:space="0" w:color="auto"/>
        <w:bottom w:val="none" w:sz="0" w:space="0" w:color="auto"/>
        <w:right w:val="none" w:sz="0" w:space="0" w:color="auto"/>
      </w:divBdr>
    </w:div>
    <w:div w:id="1563563648">
      <w:bodyDiv w:val="1"/>
      <w:marLeft w:val="0"/>
      <w:marRight w:val="0"/>
      <w:marTop w:val="0"/>
      <w:marBottom w:val="0"/>
      <w:divBdr>
        <w:top w:val="none" w:sz="0" w:space="0" w:color="auto"/>
        <w:left w:val="none" w:sz="0" w:space="0" w:color="auto"/>
        <w:bottom w:val="none" w:sz="0" w:space="0" w:color="auto"/>
        <w:right w:val="none" w:sz="0" w:space="0" w:color="auto"/>
      </w:divBdr>
    </w:div>
    <w:div w:id="1665818683">
      <w:bodyDiv w:val="1"/>
      <w:marLeft w:val="0"/>
      <w:marRight w:val="0"/>
      <w:marTop w:val="0"/>
      <w:marBottom w:val="0"/>
      <w:divBdr>
        <w:top w:val="none" w:sz="0" w:space="0" w:color="auto"/>
        <w:left w:val="none" w:sz="0" w:space="0" w:color="auto"/>
        <w:bottom w:val="none" w:sz="0" w:space="0" w:color="auto"/>
        <w:right w:val="none" w:sz="0" w:space="0" w:color="auto"/>
      </w:divBdr>
      <w:divsChild>
        <w:div w:id="1370062342">
          <w:blockQuote w:val="1"/>
          <w:marLeft w:val="600"/>
          <w:marRight w:val="600"/>
          <w:marTop w:val="240"/>
          <w:marBottom w:val="240"/>
          <w:divBdr>
            <w:top w:val="none" w:sz="0" w:space="0" w:color="auto"/>
            <w:left w:val="none" w:sz="0" w:space="0" w:color="auto"/>
            <w:bottom w:val="none" w:sz="0" w:space="0" w:color="auto"/>
            <w:right w:val="none" w:sz="0" w:space="0" w:color="auto"/>
          </w:divBdr>
        </w:div>
        <w:div w:id="683364771">
          <w:blockQuote w:val="1"/>
          <w:marLeft w:val="600"/>
          <w:marRight w:val="600"/>
          <w:marTop w:val="240"/>
          <w:marBottom w:val="240"/>
          <w:divBdr>
            <w:top w:val="none" w:sz="0" w:space="0" w:color="auto"/>
            <w:left w:val="none" w:sz="0" w:space="0" w:color="auto"/>
            <w:bottom w:val="none" w:sz="0" w:space="0" w:color="auto"/>
            <w:right w:val="none" w:sz="0" w:space="0" w:color="auto"/>
          </w:divBdr>
        </w:div>
        <w:div w:id="424349395">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669409205">
      <w:bodyDiv w:val="1"/>
      <w:marLeft w:val="0"/>
      <w:marRight w:val="0"/>
      <w:marTop w:val="0"/>
      <w:marBottom w:val="0"/>
      <w:divBdr>
        <w:top w:val="none" w:sz="0" w:space="0" w:color="auto"/>
        <w:left w:val="none" w:sz="0" w:space="0" w:color="auto"/>
        <w:bottom w:val="none" w:sz="0" w:space="0" w:color="auto"/>
        <w:right w:val="none" w:sz="0" w:space="0" w:color="auto"/>
      </w:divBdr>
    </w:div>
    <w:div w:id="1675524264">
      <w:bodyDiv w:val="1"/>
      <w:marLeft w:val="0"/>
      <w:marRight w:val="0"/>
      <w:marTop w:val="0"/>
      <w:marBottom w:val="0"/>
      <w:divBdr>
        <w:top w:val="none" w:sz="0" w:space="0" w:color="auto"/>
        <w:left w:val="none" w:sz="0" w:space="0" w:color="auto"/>
        <w:bottom w:val="none" w:sz="0" w:space="0" w:color="auto"/>
        <w:right w:val="none" w:sz="0" w:space="0" w:color="auto"/>
      </w:divBdr>
    </w:div>
    <w:div w:id="1729956201">
      <w:bodyDiv w:val="1"/>
      <w:marLeft w:val="0"/>
      <w:marRight w:val="0"/>
      <w:marTop w:val="0"/>
      <w:marBottom w:val="0"/>
      <w:divBdr>
        <w:top w:val="none" w:sz="0" w:space="0" w:color="auto"/>
        <w:left w:val="none" w:sz="0" w:space="0" w:color="auto"/>
        <w:bottom w:val="none" w:sz="0" w:space="0" w:color="auto"/>
        <w:right w:val="none" w:sz="0" w:space="0" w:color="auto"/>
      </w:divBdr>
    </w:div>
    <w:div w:id="1756440376">
      <w:bodyDiv w:val="1"/>
      <w:marLeft w:val="0"/>
      <w:marRight w:val="0"/>
      <w:marTop w:val="0"/>
      <w:marBottom w:val="0"/>
      <w:divBdr>
        <w:top w:val="none" w:sz="0" w:space="0" w:color="auto"/>
        <w:left w:val="none" w:sz="0" w:space="0" w:color="auto"/>
        <w:bottom w:val="none" w:sz="0" w:space="0" w:color="auto"/>
        <w:right w:val="none" w:sz="0" w:space="0" w:color="auto"/>
      </w:divBdr>
    </w:div>
    <w:div w:id="1783182832">
      <w:bodyDiv w:val="1"/>
      <w:marLeft w:val="0"/>
      <w:marRight w:val="0"/>
      <w:marTop w:val="0"/>
      <w:marBottom w:val="0"/>
      <w:divBdr>
        <w:top w:val="none" w:sz="0" w:space="0" w:color="auto"/>
        <w:left w:val="none" w:sz="0" w:space="0" w:color="auto"/>
        <w:bottom w:val="none" w:sz="0" w:space="0" w:color="auto"/>
        <w:right w:val="none" w:sz="0" w:space="0" w:color="auto"/>
      </w:divBdr>
    </w:div>
    <w:div w:id="1791312741">
      <w:bodyDiv w:val="1"/>
      <w:marLeft w:val="0"/>
      <w:marRight w:val="0"/>
      <w:marTop w:val="0"/>
      <w:marBottom w:val="0"/>
      <w:divBdr>
        <w:top w:val="none" w:sz="0" w:space="0" w:color="auto"/>
        <w:left w:val="none" w:sz="0" w:space="0" w:color="auto"/>
        <w:bottom w:val="none" w:sz="0" w:space="0" w:color="auto"/>
        <w:right w:val="none" w:sz="0" w:space="0" w:color="auto"/>
      </w:divBdr>
    </w:div>
    <w:div w:id="1852599766">
      <w:bodyDiv w:val="1"/>
      <w:marLeft w:val="0"/>
      <w:marRight w:val="0"/>
      <w:marTop w:val="0"/>
      <w:marBottom w:val="0"/>
      <w:divBdr>
        <w:top w:val="none" w:sz="0" w:space="0" w:color="auto"/>
        <w:left w:val="none" w:sz="0" w:space="0" w:color="auto"/>
        <w:bottom w:val="none" w:sz="0" w:space="0" w:color="auto"/>
        <w:right w:val="none" w:sz="0" w:space="0" w:color="auto"/>
      </w:divBdr>
    </w:div>
    <w:div w:id="1865098571">
      <w:bodyDiv w:val="1"/>
      <w:marLeft w:val="0"/>
      <w:marRight w:val="0"/>
      <w:marTop w:val="0"/>
      <w:marBottom w:val="0"/>
      <w:divBdr>
        <w:top w:val="none" w:sz="0" w:space="0" w:color="auto"/>
        <w:left w:val="none" w:sz="0" w:space="0" w:color="auto"/>
        <w:bottom w:val="none" w:sz="0" w:space="0" w:color="auto"/>
        <w:right w:val="none" w:sz="0" w:space="0" w:color="auto"/>
      </w:divBdr>
    </w:div>
    <w:div w:id="1872956208">
      <w:bodyDiv w:val="1"/>
      <w:marLeft w:val="0"/>
      <w:marRight w:val="0"/>
      <w:marTop w:val="0"/>
      <w:marBottom w:val="0"/>
      <w:divBdr>
        <w:top w:val="none" w:sz="0" w:space="0" w:color="auto"/>
        <w:left w:val="none" w:sz="0" w:space="0" w:color="auto"/>
        <w:bottom w:val="none" w:sz="0" w:space="0" w:color="auto"/>
        <w:right w:val="none" w:sz="0" w:space="0" w:color="auto"/>
      </w:divBdr>
    </w:div>
    <w:div w:id="1908491040">
      <w:bodyDiv w:val="1"/>
      <w:marLeft w:val="0"/>
      <w:marRight w:val="0"/>
      <w:marTop w:val="0"/>
      <w:marBottom w:val="0"/>
      <w:divBdr>
        <w:top w:val="none" w:sz="0" w:space="0" w:color="auto"/>
        <w:left w:val="none" w:sz="0" w:space="0" w:color="auto"/>
        <w:bottom w:val="none" w:sz="0" w:space="0" w:color="auto"/>
        <w:right w:val="none" w:sz="0" w:space="0" w:color="auto"/>
      </w:divBdr>
    </w:div>
    <w:div w:id="2014184872">
      <w:bodyDiv w:val="1"/>
      <w:marLeft w:val="0"/>
      <w:marRight w:val="0"/>
      <w:marTop w:val="0"/>
      <w:marBottom w:val="0"/>
      <w:divBdr>
        <w:top w:val="none" w:sz="0" w:space="0" w:color="auto"/>
        <w:left w:val="none" w:sz="0" w:space="0" w:color="auto"/>
        <w:bottom w:val="none" w:sz="0" w:space="0" w:color="auto"/>
        <w:right w:val="none" w:sz="0" w:space="0" w:color="auto"/>
      </w:divBdr>
    </w:div>
    <w:div w:id="2091654621">
      <w:bodyDiv w:val="1"/>
      <w:marLeft w:val="0"/>
      <w:marRight w:val="0"/>
      <w:marTop w:val="0"/>
      <w:marBottom w:val="0"/>
      <w:divBdr>
        <w:top w:val="none" w:sz="0" w:space="0" w:color="auto"/>
        <w:left w:val="none" w:sz="0" w:space="0" w:color="auto"/>
        <w:bottom w:val="none" w:sz="0" w:space="0" w:color="auto"/>
        <w:right w:val="none" w:sz="0" w:space="0" w:color="auto"/>
      </w:divBdr>
    </w:div>
    <w:div w:id="2101172516">
      <w:bodyDiv w:val="1"/>
      <w:marLeft w:val="0"/>
      <w:marRight w:val="0"/>
      <w:marTop w:val="0"/>
      <w:marBottom w:val="0"/>
      <w:divBdr>
        <w:top w:val="none" w:sz="0" w:space="0" w:color="auto"/>
        <w:left w:val="none" w:sz="0" w:space="0" w:color="auto"/>
        <w:bottom w:val="none" w:sz="0" w:space="0" w:color="auto"/>
        <w:right w:val="none" w:sz="0" w:space="0" w:color="auto"/>
      </w:divBdr>
    </w:div>
    <w:div w:id="2106539397">
      <w:bodyDiv w:val="1"/>
      <w:marLeft w:val="0"/>
      <w:marRight w:val="0"/>
      <w:marTop w:val="0"/>
      <w:marBottom w:val="0"/>
      <w:divBdr>
        <w:top w:val="none" w:sz="0" w:space="0" w:color="auto"/>
        <w:left w:val="none" w:sz="0" w:space="0" w:color="auto"/>
        <w:bottom w:val="none" w:sz="0" w:space="0" w:color="auto"/>
        <w:right w:val="none" w:sz="0" w:space="0" w:color="auto"/>
      </w:divBdr>
    </w:div>
    <w:div w:id="211440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NotificationUser.aspx?Id=7286&amp;Mode=0" TargetMode="External"/><Relationship Id="rId13" Type="http://schemas.openxmlformats.org/officeDocument/2006/relationships/hyperlink" Target="https://www.rbi.org.in/Scripts/NotificationUser.aspx?Id=12159&amp;Mode=0" TargetMode="External"/><Relationship Id="rId18" Type="http://schemas.openxmlformats.org/officeDocument/2006/relationships/hyperlink" Target="https://rbidocs.rbi.org.in/rdocs/content/pdfs/RBIOS2021_amendments05082022.pdf" TargetMode="External"/><Relationship Id="rId26" Type="http://schemas.openxmlformats.org/officeDocument/2006/relationships/hyperlink" Target="https://www.rbi.org.in/scripts/NotificationUser.aspx?Id=12383&amp;Mode=0"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rbi.org.in/Scripts/BS_CircularIndexDisplay.aspx?Id=12382" TargetMode="External"/><Relationship Id="rId34" Type="http://schemas.openxmlformats.org/officeDocument/2006/relationships/hyperlink" Target="https://m.rbi.org.in/Scripts/BS_PressReleaseDisplay.aspx?prid=47819" TargetMode="External"/><Relationship Id="rId7" Type="http://schemas.openxmlformats.org/officeDocument/2006/relationships/hyperlink" Target="https://rbi.org.in/Scripts/NotificationUser.aspx?Id=11822&amp;Mode=0" TargetMode="External"/><Relationship Id="rId12" Type="http://schemas.openxmlformats.org/officeDocument/2006/relationships/hyperlink" Target="https://www.rbi.org.in/Scripts/NotificationUser.aspx?Id=12050&amp;Mode=0" TargetMode="External"/><Relationship Id="rId17" Type="http://schemas.openxmlformats.org/officeDocument/2006/relationships/hyperlink" Target="https://www.rbi.org.in/Scripts/NotificationUser.aspx?Id=12192&amp;Mode=0" TargetMode="External"/><Relationship Id="rId25" Type="http://schemas.openxmlformats.org/officeDocument/2006/relationships/hyperlink" Target="https://www.rbi.org.in/Scripts/NotificationUser.aspx?Id=11560&amp;Mode=0" TargetMode="External"/><Relationship Id="rId33" Type="http://schemas.openxmlformats.org/officeDocument/2006/relationships/hyperlink" Target="https://www.rbi.org.in/scripts/FS_Notification.aspx?Id=12407&amp;fn=2&amp;Mode=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bi.org.in/scripts/BS_CircularIndexDisplay.aspx?Id=12363" TargetMode="External"/><Relationship Id="rId20" Type="http://schemas.openxmlformats.org/officeDocument/2006/relationships/hyperlink" Target="https://www.rbi.org.in/Scripts/BS_PressReleaseDisplay.aspx?prid=54187" TargetMode="External"/><Relationship Id="rId29" Type="http://schemas.openxmlformats.org/officeDocument/2006/relationships/hyperlink" Target="https://rbi.org.in/Scripts/NotificationUser.aspx?Id=8832&amp;Mode=0" TargetMode="External"/><Relationship Id="rId1" Type="http://schemas.openxmlformats.org/officeDocument/2006/relationships/customXml" Target="../customXml/item1.xml"/><Relationship Id="rId6" Type="http://schemas.openxmlformats.org/officeDocument/2006/relationships/hyperlink" Target="https://www.rbi.org.in/Scripts/BS_ViewMasDirections.aspx?id=12156" TargetMode="External"/><Relationship Id="rId11" Type="http://schemas.openxmlformats.org/officeDocument/2006/relationships/hyperlink" Target="https://www.rbi.org.in/Scripts/NotificationUser.aspx?Id=11822&amp;Mode=0" TargetMode="External"/><Relationship Id="rId24" Type="http://schemas.openxmlformats.org/officeDocument/2006/relationships/hyperlink" Target="https://www.rbi.org.in/Scripts/NotificationUser.aspx?Id=10233&amp;Mode=0" TargetMode="External"/><Relationship Id="rId32" Type="http://schemas.openxmlformats.org/officeDocument/2006/relationships/hyperlink" Target="https://www.rbi.org.in/scripts/FS_Notification.aspx?Id=12407&amp;fn=2&amp;Mode=0" TargetMode="External"/><Relationship Id="rId37" Type="http://schemas.openxmlformats.org/officeDocument/2006/relationships/hyperlink" Target="https://m.rbi.org.in/scripts/FS_Notification.aspx?Id=12431&amp;fn=9&amp;Mode=0" TargetMode="External"/><Relationship Id="rId5" Type="http://schemas.openxmlformats.org/officeDocument/2006/relationships/webSettings" Target="webSettings.xml"/><Relationship Id="rId15" Type="http://schemas.openxmlformats.org/officeDocument/2006/relationships/hyperlink" Target="https://www.rbi.org.in/Scripts/NotificationUser.aspx?Id=12345&amp;Mode=0" TargetMode="External"/><Relationship Id="rId23" Type="http://schemas.openxmlformats.org/officeDocument/2006/relationships/hyperlink" Target="https://rbi.org.in/Scripts/BS_CircularIndexDisplay.aspx?Id=12382" TargetMode="External"/><Relationship Id="rId28" Type="http://schemas.openxmlformats.org/officeDocument/2006/relationships/hyperlink" Target="https://rbi.org.in/Scripts/BS_PressReleaseDisplay.aspx?prid=54149" TargetMode="External"/><Relationship Id="rId36" Type="http://schemas.openxmlformats.org/officeDocument/2006/relationships/hyperlink" Target="https://m.rbi.org.in/scripts/FS_Notification.aspx?Id=12431&amp;fn=9&amp;Mode=0" TargetMode="External"/><Relationship Id="rId10" Type="http://schemas.openxmlformats.org/officeDocument/2006/relationships/hyperlink" Target="https://www.rbi.org.in/Scripts/NotificationUser.aspx?Id=12348&amp;Mode=0" TargetMode="External"/><Relationship Id="rId19" Type="http://schemas.openxmlformats.org/officeDocument/2006/relationships/hyperlink" Target="https://www.rbi.org.in/Scripts/NotificationUser.aspx?Id=12371&amp;Mode=0" TargetMode="External"/><Relationship Id="rId31" Type="http://schemas.openxmlformats.org/officeDocument/2006/relationships/hyperlink" Target="https://rbi.org.in/Scripts/NotificationUser.aspx?Id=10128&amp;Mode=0" TargetMode="External"/><Relationship Id="rId4" Type="http://schemas.openxmlformats.org/officeDocument/2006/relationships/settings" Target="settings.xml"/><Relationship Id="rId9" Type="http://schemas.openxmlformats.org/officeDocument/2006/relationships/hyperlink" Target="https://www.rbi.org.in/Scripts/NotificationUser.aspx?Id=12348&amp;Mode=0" TargetMode="External"/><Relationship Id="rId14" Type="http://schemas.openxmlformats.org/officeDocument/2006/relationships/hyperlink" Target="https://www.rbi.org.in/Scripts/NotificationUser.aspx?Id=12211&amp;Mode=0" TargetMode="External"/><Relationship Id="rId22" Type="http://schemas.openxmlformats.org/officeDocument/2006/relationships/hyperlink" Target="https://rbi.org.in/Scripts/BS_CircularIndexDisplay.aspx?Id=12382" TargetMode="External"/><Relationship Id="rId27" Type="http://schemas.openxmlformats.org/officeDocument/2006/relationships/hyperlink" Target="https://www.rbi.org.in/Scripts/NotificationUser.aspx?Id=8832&amp;Mode=0" TargetMode="External"/><Relationship Id="rId30" Type="http://schemas.openxmlformats.org/officeDocument/2006/relationships/hyperlink" Target="https://www.rbi.org.in/scripts/NotificationUser.aspx?Id=12386&amp;Mode=0" TargetMode="External"/><Relationship Id="rId35" Type="http://schemas.openxmlformats.org/officeDocument/2006/relationships/hyperlink" Target="https://prism.rbi.org.in/DAKSH/por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37431-A99E-4456-B4C7-5BA37CE56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9</Pages>
  <Words>2681</Words>
  <Characters>15287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Srija Sarkar</dc:creator>
  <cp:keywords/>
  <dc:description/>
  <cp:lastModifiedBy>Srija Sarkar</cp:lastModifiedBy>
  <cp:revision>53</cp:revision>
  <dcterms:created xsi:type="dcterms:W3CDTF">2023-02-27T06:47:00Z</dcterms:created>
  <dcterms:modified xsi:type="dcterms:W3CDTF">2023-02-28T07:02:00Z</dcterms:modified>
</cp:coreProperties>
</file>